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692827" w:rsidRDefault="00535A92" w:rsidP="00535A92">
      <w:pPr>
        <w:rPr>
          <w:rFonts w:ascii="Arial" w:hAnsi="Arial" w:cs="Arial"/>
          <w:b/>
          <w:color w:val="00B0F0"/>
          <w:szCs w:val="20"/>
        </w:rPr>
      </w:pPr>
    </w:p>
    <w:p w:rsidR="00535A92" w:rsidRPr="00692827" w:rsidRDefault="00535A92" w:rsidP="00535A92">
      <w:pPr>
        <w:rPr>
          <w:rFonts w:ascii="Arial" w:hAnsi="Arial" w:cs="Arial"/>
          <w:b/>
          <w:color w:val="33CAFF"/>
          <w:szCs w:val="20"/>
        </w:rPr>
      </w:pPr>
      <w:r w:rsidRPr="00692827">
        <w:rPr>
          <w:rFonts w:ascii="Arial" w:hAnsi="Arial" w:cs="Arial"/>
          <w:b/>
          <w:color w:val="33CAFF"/>
          <w:szCs w:val="20"/>
        </w:rPr>
        <w:t>This report is for The Motor Ombudsman</w:t>
      </w:r>
      <w:r w:rsidR="00666420" w:rsidRPr="00692827">
        <w:rPr>
          <w:rFonts w:ascii="Arial" w:hAnsi="Arial" w:cs="Arial"/>
          <w:b/>
          <w:color w:val="33CAFF"/>
          <w:szCs w:val="20"/>
        </w:rPr>
        <w:t xml:space="preserve"> Ltd during the period June</w:t>
      </w:r>
      <w:r w:rsidRPr="00692827">
        <w:rPr>
          <w:rFonts w:ascii="Arial" w:hAnsi="Arial" w:cs="Arial"/>
          <w:b/>
          <w:color w:val="33CAFF"/>
          <w:szCs w:val="20"/>
        </w:rPr>
        <w:t xml:space="preserve"> 2015 to </w:t>
      </w:r>
      <w:r w:rsidR="00666420" w:rsidRPr="00692827">
        <w:rPr>
          <w:rFonts w:ascii="Arial" w:hAnsi="Arial" w:cs="Arial"/>
          <w:b/>
          <w:color w:val="33CAFF"/>
          <w:szCs w:val="20"/>
        </w:rPr>
        <w:t>June</w:t>
      </w:r>
      <w:r w:rsidRPr="00692827">
        <w:rPr>
          <w:rFonts w:ascii="Arial" w:hAnsi="Arial" w:cs="Arial"/>
          <w:b/>
          <w:color w:val="33CAFF"/>
          <w:szCs w:val="20"/>
        </w:rPr>
        <w:t xml:space="preserve"> 2016</w:t>
      </w:r>
    </w:p>
    <w:p w:rsidR="00535A92" w:rsidRDefault="00535A92" w:rsidP="00535A92">
      <w:pPr>
        <w:rPr>
          <w:rFonts w:ascii="Arial" w:hAnsi="Arial" w:cs="Arial"/>
          <w:color w:val="000000" w:themeColor="text1"/>
        </w:rPr>
      </w:pPr>
      <w:r w:rsidRPr="00666420">
        <w:rPr>
          <w:rFonts w:ascii="Arial" w:hAnsi="Arial" w:cs="Arial"/>
          <w:color w:val="000000" w:themeColor="text1"/>
        </w:rPr>
        <w:t>The Motor Ombudsman</w:t>
      </w:r>
      <w:r w:rsidR="00666420">
        <w:rPr>
          <w:rFonts w:ascii="Arial" w:hAnsi="Arial" w:cs="Arial"/>
          <w:color w:val="000000" w:themeColor="text1"/>
        </w:rPr>
        <w:t xml:space="preserve"> Ltd </w:t>
      </w:r>
      <w:r w:rsidRPr="00666420">
        <w:rPr>
          <w:rFonts w:ascii="Arial" w:hAnsi="Arial" w:cs="Arial"/>
          <w:color w:val="000000" w:themeColor="text1"/>
        </w:rPr>
        <w:t xml:space="preserve">achieved accreditation status under the Alternative Dispute Resolution for Consumer Disputes (Competent Authorities </w:t>
      </w:r>
      <w:r w:rsidR="00666420" w:rsidRPr="00666420">
        <w:rPr>
          <w:rFonts w:ascii="Arial" w:hAnsi="Arial" w:cs="Arial"/>
          <w:color w:val="000000" w:themeColor="text1"/>
        </w:rPr>
        <w:t>and Infor</w:t>
      </w:r>
      <w:r w:rsidR="00666420">
        <w:rPr>
          <w:rFonts w:ascii="Arial" w:hAnsi="Arial" w:cs="Arial"/>
          <w:color w:val="000000" w:themeColor="text1"/>
        </w:rPr>
        <w:t>mation) Regulations 2015 on 24</w:t>
      </w:r>
      <w:r w:rsidR="00666420" w:rsidRPr="00666420">
        <w:rPr>
          <w:rFonts w:ascii="Arial" w:hAnsi="Arial" w:cs="Arial"/>
          <w:color w:val="000000" w:themeColor="text1"/>
          <w:vertAlign w:val="superscript"/>
        </w:rPr>
        <w:t>th</w:t>
      </w:r>
      <w:r w:rsidR="00666420">
        <w:rPr>
          <w:rFonts w:ascii="Arial" w:hAnsi="Arial" w:cs="Arial"/>
          <w:color w:val="000000" w:themeColor="text1"/>
        </w:rPr>
        <w:t xml:space="preserve"> June 2015.</w:t>
      </w:r>
    </w:p>
    <w:p w:rsidR="00666420" w:rsidRDefault="00666420" w:rsidP="00535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Approval is granted </w:t>
      </w:r>
      <w:r w:rsidRPr="00666420">
        <w:rPr>
          <w:rFonts w:ascii="Arial" w:hAnsi="Arial" w:cs="Arial"/>
          <w:color w:val="000000" w:themeColor="text1"/>
        </w:rPr>
        <w:t>from the Chartered Trading Standards Institute (CTSI)</w:t>
      </w:r>
      <w:r>
        <w:rPr>
          <w:rFonts w:ascii="Arial" w:hAnsi="Arial" w:cs="Arial"/>
          <w:color w:val="000000" w:themeColor="text1"/>
        </w:rPr>
        <w:t>, under arrangements delegated by to them by the Secretary of State for the Department for Business Energy and Industrial Strategy (formally Business Innovation and Skills).</w:t>
      </w:r>
    </w:p>
    <w:p w:rsidR="00666420" w:rsidRPr="00666420" w:rsidRDefault="00666420" w:rsidP="00535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is incumbent on all certified providers to report back to the Competent Authority on its annual statistics during each certification period.</w:t>
      </w:r>
    </w:p>
    <w:p w:rsidR="00666420" w:rsidRPr="005276E0" w:rsidRDefault="00666420" w:rsidP="00535A92">
      <w:pPr>
        <w:rPr>
          <w:rFonts w:ascii="Arial" w:hAnsi="Arial" w:cs="Arial"/>
          <w:b/>
          <w:color w:val="33CAFF"/>
        </w:rPr>
      </w:pPr>
      <w:r w:rsidRPr="005276E0">
        <w:rPr>
          <w:rFonts w:ascii="Arial" w:hAnsi="Arial" w:cs="Arial"/>
          <w:b/>
          <w:color w:val="33CAFF"/>
        </w:rPr>
        <w:t>Section 1</w:t>
      </w:r>
      <w:r w:rsidR="005276E0">
        <w:rPr>
          <w:rFonts w:ascii="Arial" w:hAnsi="Arial" w:cs="Arial"/>
          <w:b/>
          <w:color w:val="33CAFF"/>
        </w:rPr>
        <w:t>(a)</w:t>
      </w:r>
      <w:r w:rsidRPr="005276E0">
        <w:rPr>
          <w:rFonts w:ascii="Arial" w:hAnsi="Arial" w:cs="Arial"/>
          <w:b/>
          <w:color w:val="33CAFF"/>
        </w:rPr>
        <w:t xml:space="preserve"> – Volume of disputes received</w:t>
      </w:r>
      <w:r w:rsidR="005276E0" w:rsidRPr="005276E0">
        <w:rPr>
          <w:rFonts w:ascii="Arial" w:hAnsi="Arial" w:cs="Arial"/>
          <w:b/>
          <w:color w:val="33CAFF"/>
        </w:rPr>
        <w:t xml:space="preserve">, including summary of </w:t>
      </w:r>
      <w:r w:rsidRPr="005276E0">
        <w:rPr>
          <w:rFonts w:ascii="Arial" w:hAnsi="Arial" w:cs="Arial"/>
          <w:b/>
          <w:color w:val="33CAFF"/>
        </w:rPr>
        <w:t xml:space="preserve">dispute type </w:t>
      </w:r>
      <w:r w:rsidR="005276E0" w:rsidRPr="005276E0">
        <w:rPr>
          <w:rFonts w:ascii="Arial" w:hAnsi="Arial" w:cs="Arial"/>
          <w:b/>
          <w:color w:val="33CAFF"/>
        </w:rPr>
        <w:t>and territory (domestic or cross border)</w:t>
      </w:r>
    </w:p>
    <w:p w:rsidR="00563BC3" w:rsidRDefault="005276E0" w:rsidP="00535A92">
      <w:pPr>
        <w:rPr>
          <w:rFonts w:ascii="Arial" w:hAnsi="Arial" w:cs="Arial"/>
          <w:color w:val="000000" w:themeColor="text1"/>
        </w:rPr>
      </w:pPr>
      <w:r w:rsidRPr="005276E0">
        <w:rPr>
          <w:rFonts w:ascii="Arial" w:hAnsi="Arial" w:cs="Arial"/>
          <w:color w:val="000000" w:themeColor="text1"/>
        </w:rPr>
        <w:t>Enquiries are p</w:t>
      </w:r>
      <w:r w:rsidR="008F1C98">
        <w:rPr>
          <w:rFonts w:ascii="Arial" w:hAnsi="Arial" w:cs="Arial"/>
          <w:color w:val="000000" w:themeColor="text1"/>
        </w:rPr>
        <w:t>rimarily categorised under the c</w:t>
      </w:r>
      <w:r w:rsidRPr="005276E0">
        <w:rPr>
          <w:rFonts w:ascii="Arial" w:hAnsi="Arial" w:cs="Arial"/>
          <w:color w:val="000000" w:themeColor="text1"/>
        </w:rPr>
        <w:t xml:space="preserve">odes of </w:t>
      </w:r>
      <w:r w:rsidR="008F1C98">
        <w:rPr>
          <w:rFonts w:ascii="Arial" w:hAnsi="Arial" w:cs="Arial"/>
          <w:color w:val="000000" w:themeColor="text1"/>
        </w:rPr>
        <w:t>p</w:t>
      </w:r>
      <w:r w:rsidRPr="005276E0">
        <w:rPr>
          <w:rFonts w:ascii="Arial" w:hAnsi="Arial" w:cs="Arial"/>
          <w:color w:val="000000" w:themeColor="text1"/>
        </w:rPr>
        <w:t>ractice we operate</w:t>
      </w:r>
      <w:r w:rsidR="008F1C98">
        <w:rPr>
          <w:rFonts w:ascii="Arial" w:hAnsi="Arial" w:cs="Arial"/>
          <w:color w:val="000000" w:themeColor="text1"/>
        </w:rPr>
        <w:t>, (New Car</w:t>
      </w:r>
      <w:r w:rsidR="00563BC3">
        <w:rPr>
          <w:rFonts w:ascii="Arial" w:hAnsi="Arial" w:cs="Arial"/>
          <w:color w:val="000000" w:themeColor="text1"/>
        </w:rPr>
        <w:t>, Service and Repair and Vehicle Warranty Products)</w:t>
      </w:r>
      <w:r w:rsidRPr="005276E0">
        <w:rPr>
          <w:rFonts w:ascii="Arial" w:hAnsi="Arial" w:cs="Arial"/>
          <w:color w:val="000000" w:themeColor="text1"/>
        </w:rPr>
        <w:t xml:space="preserve"> an</w:t>
      </w:r>
      <w:r>
        <w:rPr>
          <w:rFonts w:ascii="Arial" w:hAnsi="Arial" w:cs="Arial"/>
          <w:color w:val="000000" w:themeColor="text1"/>
        </w:rPr>
        <w:t xml:space="preserve">d where they do not fall under our code remit the enquiry will be classed as </w:t>
      </w:r>
      <w:r w:rsidR="00563BC3">
        <w:rPr>
          <w:rFonts w:ascii="Arial" w:hAnsi="Arial" w:cs="Arial"/>
          <w:color w:val="000000" w:themeColor="text1"/>
        </w:rPr>
        <w:t>‘</w:t>
      </w:r>
      <w:r>
        <w:rPr>
          <w:rFonts w:ascii="Arial" w:hAnsi="Arial" w:cs="Arial"/>
          <w:color w:val="000000" w:themeColor="text1"/>
        </w:rPr>
        <w:t>other</w:t>
      </w:r>
      <w:r w:rsidR="00563BC3">
        <w:rPr>
          <w:rFonts w:ascii="Arial" w:hAnsi="Arial" w:cs="Arial"/>
          <w:color w:val="000000" w:themeColor="text1"/>
        </w:rPr>
        <w:t>’</w:t>
      </w:r>
      <w:r>
        <w:rPr>
          <w:rFonts w:ascii="Arial" w:hAnsi="Arial" w:cs="Arial"/>
          <w:color w:val="000000" w:themeColor="text1"/>
        </w:rPr>
        <w:t xml:space="preserve">. </w:t>
      </w:r>
      <w:r w:rsidR="008F1C98">
        <w:rPr>
          <w:rFonts w:ascii="Arial" w:hAnsi="Arial" w:cs="Arial"/>
          <w:color w:val="000000" w:themeColor="text1"/>
        </w:rPr>
        <w:t xml:space="preserve"> </w:t>
      </w:r>
    </w:p>
    <w:p w:rsidR="005276E0" w:rsidRDefault="005276E0" w:rsidP="00535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 all enquiries made to TMO are formal disputes</w:t>
      </w:r>
      <w:r w:rsidR="00563BC3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with many consumers seeking </w:t>
      </w:r>
      <w:r w:rsidR="00563BC3">
        <w:rPr>
          <w:rFonts w:ascii="Arial" w:hAnsi="Arial" w:cs="Arial"/>
          <w:color w:val="000000" w:themeColor="text1"/>
        </w:rPr>
        <w:t xml:space="preserve">guidance or </w:t>
      </w:r>
      <w:r>
        <w:rPr>
          <w:rFonts w:ascii="Arial" w:hAnsi="Arial" w:cs="Arial"/>
          <w:color w:val="000000" w:themeColor="text1"/>
        </w:rPr>
        <w:t>information only.</w:t>
      </w:r>
    </w:p>
    <w:p w:rsidR="00563BC3" w:rsidRDefault="00563BC3" w:rsidP="00535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Number of </w:t>
      </w:r>
      <w:r w:rsidR="00541FAD">
        <w:rPr>
          <w:rFonts w:ascii="Arial" w:hAnsi="Arial" w:cs="Arial"/>
          <w:color w:val="000000" w:themeColor="text1"/>
        </w:rPr>
        <w:t>e</w:t>
      </w:r>
      <w:r w:rsidR="00DC73E5">
        <w:rPr>
          <w:rFonts w:ascii="Arial" w:hAnsi="Arial" w:cs="Arial"/>
          <w:color w:val="000000" w:themeColor="text1"/>
        </w:rPr>
        <w:t>nquiries</w:t>
      </w:r>
      <w:r w:rsidR="00541FAD">
        <w:rPr>
          <w:rFonts w:ascii="Arial" w:hAnsi="Arial" w:cs="Arial"/>
          <w:color w:val="000000" w:themeColor="text1"/>
        </w:rPr>
        <w:t xml:space="preserve"> and disputes</w:t>
      </w:r>
      <w:r w:rsidR="00DC73E5">
        <w:rPr>
          <w:rFonts w:ascii="Arial" w:hAnsi="Arial" w:cs="Arial"/>
          <w:color w:val="000000" w:themeColor="text1"/>
        </w:rPr>
        <w:t xml:space="preserve"> received from June 2015 to June 2016;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80"/>
        <w:gridCol w:w="1746"/>
        <w:gridCol w:w="1843"/>
        <w:gridCol w:w="1843"/>
        <w:gridCol w:w="1842"/>
      </w:tblGrid>
      <w:tr w:rsidR="009144ED" w:rsidRPr="009144ED" w:rsidTr="003A5445">
        <w:trPr>
          <w:trHeight w:val="495"/>
        </w:trPr>
        <w:tc>
          <w:tcPr>
            <w:tcW w:w="2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="003A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Enquiry type</w:t>
            </w:r>
          </w:p>
        </w:tc>
        <w:tc>
          <w:tcPr>
            <w:tcW w:w="1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No. of domestic enquiries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No. of domestic disputes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No. of cross border enquiries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No. of cross border disputes</w:t>
            </w:r>
          </w:p>
        </w:tc>
      </w:tr>
      <w:tr w:rsidR="009144ED" w:rsidRPr="009144ED" w:rsidTr="009144E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Service and Repair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="00A34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144ED" w:rsidRPr="009144ED" w:rsidTr="009144E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New Car Warranty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="00A34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144ED" w:rsidRPr="009144ED" w:rsidTr="009144E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Vehicle Warranty Products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144ED" w:rsidRPr="009144ED" w:rsidTr="009144E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Vehicle Sales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144ED" w:rsidRPr="009144ED" w:rsidTr="009144E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144ED" w:rsidRPr="009144ED" w:rsidTr="009144E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="00A344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144ED" w:rsidRPr="009144ED" w:rsidRDefault="009144ED" w:rsidP="00914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4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</w:tbl>
    <w:p w:rsidR="00C45DC9" w:rsidRPr="00C45DC9" w:rsidRDefault="00C45DC9" w:rsidP="00C45DC9">
      <w:pPr>
        <w:spacing w:after="0" w:line="240" w:lineRule="auto"/>
        <w:rPr>
          <w:rFonts w:ascii="Arial" w:hAnsi="Arial" w:cs="Arial"/>
        </w:rPr>
      </w:pPr>
    </w:p>
    <w:p w:rsidR="005276E0" w:rsidRDefault="005276E0" w:rsidP="005276E0">
      <w:pPr>
        <w:rPr>
          <w:rFonts w:ascii="Arial" w:eastAsia="Times New Roman" w:hAnsi="Arial" w:cs="Arial"/>
          <w:b/>
          <w:color w:val="33CAFF"/>
          <w:szCs w:val="20"/>
          <w:lang w:eastAsia="en-GB"/>
        </w:rPr>
      </w:pPr>
      <w:r>
        <w:rPr>
          <w:rFonts w:ascii="Arial" w:eastAsia="Times New Roman" w:hAnsi="Arial" w:cs="Arial"/>
          <w:b/>
          <w:color w:val="33CAFF"/>
          <w:szCs w:val="20"/>
          <w:lang w:eastAsia="en-GB"/>
        </w:rPr>
        <w:t>Section 1(b)</w:t>
      </w:r>
      <w:r w:rsidRPr="005276E0">
        <w:rPr>
          <w:rFonts w:ascii="Arial" w:eastAsia="Times New Roman" w:hAnsi="Arial" w:cs="Arial"/>
          <w:b/>
          <w:color w:val="33CAFF"/>
          <w:szCs w:val="20"/>
          <w:lang w:eastAsia="en-GB"/>
        </w:rPr>
        <w:t xml:space="preserve"> </w:t>
      </w:r>
      <w:r w:rsidR="00692827">
        <w:rPr>
          <w:rFonts w:ascii="Arial" w:eastAsia="Times New Roman" w:hAnsi="Arial" w:cs="Arial"/>
          <w:b/>
          <w:color w:val="33CAFF"/>
          <w:szCs w:val="20"/>
          <w:lang w:eastAsia="en-GB"/>
        </w:rPr>
        <w:t>–</w:t>
      </w:r>
      <w:r w:rsidRPr="005276E0">
        <w:rPr>
          <w:rFonts w:ascii="Arial" w:eastAsia="Times New Roman" w:hAnsi="Arial" w:cs="Arial"/>
          <w:b/>
          <w:color w:val="33CAFF"/>
          <w:szCs w:val="20"/>
          <w:lang w:eastAsia="en-GB"/>
        </w:rPr>
        <w:t xml:space="preserve"> Territory</w:t>
      </w:r>
    </w:p>
    <w:p w:rsidR="00692827" w:rsidRDefault="00692827" w:rsidP="005276E0">
      <w:p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 w:rsidRPr="00692827">
        <w:rPr>
          <w:rFonts w:ascii="Arial" w:eastAsia="Times New Roman" w:hAnsi="Arial" w:cs="Arial"/>
          <w:color w:val="000000" w:themeColor="text1"/>
          <w:szCs w:val="20"/>
          <w:lang w:eastAsia="en-GB"/>
        </w:rPr>
        <w:t>TMO are only able to assist where</w:t>
      </w:r>
      <w:r w:rsidR="008F1C98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the business is an accredited c</w:t>
      </w:r>
      <w:r w:rsidRPr="00692827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ode 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business</w:t>
      </w:r>
      <w:r w:rsidR="00563BC3">
        <w:rPr>
          <w:rFonts w:ascii="Arial" w:eastAsia="Times New Roman" w:hAnsi="Arial" w:cs="Arial"/>
          <w:color w:val="000000" w:themeColor="text1"/>
          <w:szCs w:val="20"/>
          <w:lang w:eastAsia="en-GB"/>
        </w:rPr>
        <w:t>. C</w:t>
      </w:r>
      <w:r w:rsidR="008F1C98">
        <w:rPr>
          <w:rFonts w:ascii="Arial" w:eastAsia="Times New Roman" w:hAnsi="Arial" w:cs="Arial"/>
          <w:color w:val="000000" w:themeColor="text1"/>
          <w:szCs w:val="20"/>
          <w:lang w:eastAsia="en-GB"/>
        </w:rPr>
        <w:t>urrently our c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odes only cover UK businesses</w:t>
      </w:r>
      <w:r w:rsidR="00563BC3">
        <w:rPr>
          <w:rFonts w:ascii="Arial" w:eastAsia="Times New Roman" w:hAnsi="Arial" w:cs="Arial"/>
          <w:color w:val="000000" w:themeColor="text1"/>
          <w:szCs w:val="20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</w:t>
      </w:r>
      <w:r w:rsidR="00563BC3">
        <w:rPr>
          <w:rFonts w:ascii="Arial" w:eastAsia="Times New Roman" w:hAnsi="Arial" w:cs="Arial"/>
          <w:color w:val="000000" w:themeColor="text1"/>
          <w:szCs w:val="20"/>
          <w:lang w:eastAsia="en-GB"/>
        </w:rPr>
        <w:t>h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owever any consumer whether they are a resident in the UK or not, is permitted to access our scheme if they have </w:t>
      </w:r>
      <w:r w:rsidR="00563BC3">
        <w:rPr>
          <w:rFonts w:ascii="Arial" w:eastAsia="Times New Roman" w:hAnsi="Arial" w:cs="Arial"/>
          <w:color w:val="000000" w:themeColor="text1"/>
          <w:szCs w:val="20"/>
          <w:lang w:eastAsia="en-GB"/>
        </w:rPr>
        <w:t>a dispute with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an</w:t>
      </w:r>
      <w:r w:rsidR="008F1C98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accredited c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ode business.</w:t>
      </w:r>
    </w:p>
    <w:p w:rsidR="0018124A" w:rsidRDefault="00692827" w:rsidP="005276E0">
      <w:p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Typically TMO receives domestic disputes only due to the nature of </w:t>
      </w:r>
      <w:r w:rsidR="00563BC3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the sectors we cover under our codes. Historically when purchasing a new car this would only be done in one of the manufacturers franchised dealers </w:t>
      </w:r>
      <w:r w:rsidR="009144ED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and similarly a consumer is likely to have a service or repair carried out locally </w:t>
      </w:r>
    </w:p>
    <w:p w:rsidR="00692827" w:rsidRDefault="0018124A" w:rsidP="005276E0">
      <w:p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H</w:t>
      </w:r>
      <w:r w:rsidR="009144ED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owever cross border disputes </w:t>
      </w:r>
      <w:r w:rsidR="00AF455F">
        <w:rPr>
          <w:rFonts w:ascii="Arial" w:eastAsia="Times New Roman" w:hAnsi="Arial" w:cs="Arial"/>
          <w:color w:val="000000" w:themeColor="text1"/>
          <w:szCs w:val="20"/>
          <w:lang w:eastAsia="en-GB"/>
        </w:rPr>
        <w:t>do occur on occasion</w:t>
      </w:r>
      <w:r w:rsidR="003A5445">
        <w:rPr>
          <w:rFonts w:ascii="Arial" w:eastAsia="Times New Roman" w:hAnsi="Arial" w:cs="Arial"/>
          <w:color w:val="000000" w:themeColor="text1"/>
          <w:szCs w:val="20"/>
          <w:lang w:eastAsia="en-GB"/>
        </w:rPr>
        <w:t>, for example</w:t>
      </w:r>
      <w:r w:rsidR="009144ED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if someone has travelled from abroad to the UK</w:t>
      </w:r>
      <w:r w:rsidR="003A5445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and required service or maintenance work during that time</w:t>
      </w:r>
      <w:r w:rsidR="009144ED">
        <w:rPr>
          <w:rFonts w:ascii="Arial" w:eastAsia="Times New Roman" w:hAnsi="Arial" w:cs="Arial"/>
          <w:color w:val="000000" w:themeColor="text1"/>
          <w:szCs w:val="20"/>
          <w:lang w:eastAsia="en-GB"/>
        </w:rPr>
        <w:t>.</w:t>
      </w:r>
    </w:p>
    <w:p w:rsidR="009144ED" w:rsidRDefault="009144ED" w:rsidP="00535A92">
      <w:pPr>
        <w:rPr>
          <w:rFonts w:ascii="Arial" w:eastAsia="Times New Roman" w:hAnsi="Arial" w:cs="Arial"/>
          <w:b/>
          <w:color w:val="33CAFF"/>
          <w:szCs w:val="20"/>
          <w:lang w:eastAsia="en-GB"/>
        </w:rPr>
      </w:pPr>
    </w:p>
    <w:p w:rsidR="009144ED" w:rsidRDefault="009144ED" w:rsidP="00535A92">
      <w:pPr>
        <w:rPr>
          <w:rFonts w:ascii="Arial" w:eastAsia="Times New Roman" w:hAnsi="Arial" w:cs="Arial"/>
          <w:b/>
          <w:color w:val="33CAFF"/>
          <w:szCs w:val="20"/>
          <w:lang w:eastAsia="en-GB"/>
        </w:rPr>
      </w:pPr>
    </w:p>
    <w:p w:rsidR="005276E0" w:rsidRPr="005276E0" w:rsidRDefault="005276E0" w:rsidP="00535A92">
      <w:pPr>
        <w:rPr>
          <w:rFonts w:ascii="Arial" w:eastAsia="Times New Roman" w:hAnsi="Arial" w:cs="Arial"/>
          <w:b/>
          <w:color w:val="00B0F0"/>
          <w:szCs w:val="20"/>
          <w:lang w:eastAsia="en-GB"/>
        </w:rPr>
      </w:pPr>
      <w:r w:rsidRPr="005276E0">
        <w:rPr>
          <w:rFonts w:ascii="Arial" w:eastAsia="Times New Roman" w:hAnsi="Arial" w:cs="Arial"/>
          <w:b/>
          <w:color w:val="33CAFF"/>
          <w:szCs w:val="20"/>
          <w:lang w:eastAsia="en-GB"/>
        </w:rPr>
        <w:t xml:space="preserve">Section </w:t>
      </w:r>
      <w:r w:rsidR="007A5872">
        <w:rPr>
          <w:rFonts w:ascii="Arial" w:eastAsia="Times New Roman" w:hAnsi="Arial" w:cs="Arial"/>
          <w:b/>
          <w:color w:val="33CAFF"/>
          <w:szCs w:val="20"/>
          <w:lang w:eastAsia="en-GB"/>
        </w:rPr>
        <w:t>2</w:t>
      </w:r>
      <w:r>
        <w:rPr>
          <w:rFonts w:ascii="Arial" w:eastAsia="Times New Roman" w:hAnsi="Arial" w:cs="Arial"/>
          <w:b/>
          <w:color w:val="33CAFF"/>
          <w:szCs w:val="20"/>
          <w:lang w:eastAsia="en-GB"/>
        </w:rPr>
        <w:t>(a)</w:t>
      </w:r>
      <w:r w:rsidRPr="005276E0">
        <w:rPr>
          <w:rFonts w:ascii="Arial" w:eastAsia="Times New Roman" w:hAnsi="Arial" w:cs="Arial"/>
          <w:b/>
          <w:color w:val="33CAFF"/>
          <w:szCs w:val="20"/>
          <w:lang w:eastAsia="en-GB"/>
        </w:rPr>
        <w:t xml:space="preserve"> – Details of any systematic </w:t>
      </w:r>
      <w:r w:rsidR="009144ED">
        <w:rPr>
          <w:rFonts w:ascii="Arial" w:eastAsia="Times New Roman" w:hAnsi="Arial" w:cs="Arial"/>
          <w:b/>
          <w:color w:val="33CAFF"/>
          <w:szCs w:val="20"/>
          <w:lang w:eastAsia="en-GB"/>
        </w:rPr>
        <w:t xml:space="preserve">or significant </w:t>
      </w:r>
      <w:r w:rsidRPr="005276E0">
        <w:rPr>
          <w:rFonts w:ascii="Arial" w:eastAsia="Times New Roman" w:hAnsi="Arial" w:cs="Arial"/>
          <w:b/>
          <w:color w:val="33CAFF"/>
          <w:szCs w:val="20"/>
          <w:lang w:eastAsia="en-GB"/>
        </w:rPr>
        <w:t>problems occurring frequently</w:t>
      </w:r>
      <w:r w:rsidR="009144ED">
        <w:rPr>
          <w:rFonts w:ascii="Arial" w:eastAsia="Times New Roman" w:hAnsi="Arial" w:cs="Arial"/>
          <w:b/>
          <w:color w:val="33CAFF"/>
          <w:szCs w:val="20"/>
          <w:lang w:eastAsia="en-GB"/>
        </w:rPr>
        <w:t>:</w:t>
      </w:r>
    </w:p>
    <w:p w:rsidR="000D7ED4" w:rsidRDefault="005276E0" w:rsidP="00535A92">
      <w:pPr>
        <w:rPr>
          <w:rFonts w:ascii="Arial" w:hAnsi="Arial" w:cs="Arial"/>
        </w:rPr>
      </w:pPr>
      <w:r>
        <w:rPr>
          <w:rFonts w:ascii="Arial" w:hAnsi="Arial" w:cs="Arial"/>
        </w:rPr>
        <w:t>The Motor Ombudsman has been providing alternative dispute resolution for over 10 years</w:t>
      </w:r>
      <w:r w:rsidR="000D7ED4">
        <w:rPr>
          <w:rFonts w:ascii="Arial" w:hAnsi="Arial" w:cs="Arial"/>
        </w:rPr>
        <w:t xml:space="preserve"> </w:t>
      </w:r>
      <w:r w:rsidR="009144ED">
        <w:rPr>
          <w:rFonts w:ascii="Arial" w:hAnsi="Arial" w:cs="Arial"/>
        </w:rPr>
        <w:t xml:space="preserve">(formally under the </w:t>
      </w:r>
      <w:r w:rsidR="000D7ED4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Motor Codes Ltd</w:t>
      </w:r>
      <w:r w:rsidR="009144ED">
        <w:rPr>
          <w:rFonts w:ascii="Arial" w:hAnsi="Arial" w:cs="Arial"/>
        </w:rPr>
        <w:t>)</w:t>
      </w:r>
      <w:r w:rsidR="000D7ED4">
        <w:rPr>
          <w:rFonts w:ascii="Arial" w:hAnsi="Arial" w:cs="Arial"/>
        </w:rPr>
        <w:t xml:space="preserve">.  </w:t>
      </w:r>
    </w:p>
    <w:p w:rsidR="009144ED" w:rsidRDefault="000D7ED4" w:rsidP="00535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5445">
        <w:rPr>
          <w:rFonts w:ascii="Arial" w:hAnsi="Arial" w:cs="Arial"/>
        </w:rPr>
        <w:t>volumes</w:t>
      </w:r>
      <w:r>
        <w:rPr>
          <w:rFonts w:ascii="Arial" w:hAnsi="Arial" w:cs="Arial"/>
        </w:rPr>
        <w:t xml:space="preserve"> of disputes that we see when compared to the amount of transactions that take place in the automotive se</w:t>
      </w:r>
      <w:r w:rsidR="008F1C98">
        <w:rPr>
          <w:rFonts w:ascii="Arial" w:hAnsi="Arial" w:cs="Arial"/>
        </w:rPr>
        <w:t>ctors covered by our c</w:t>
      </w:r>
      <w:r w:rsidR="009144ED">
        <w:rPr>
          <w:rFonts w:ascii="Arial" w:hAnsi="Arial" w:cs="Arial"/>
        </w:rPr>
        <w:t>odes are relatively</w:t>
      </w:r>
      <w:r w:rsidR="00AF455F">
        <w:rPr>
          <w:rFonts w:ascii="Arial" w:hAnsi="Arial" w:cs="Arial"/>
        </w:rPr>
        <w:t xml:space="preserve"> low</w:t>
      </w:r>
      <w:r w:rsidR="009144ED">
        <w:rPr>
          <w:rFonts w:ascii="Arial" w:hAnsi="Arial" w:cs="Arial"/>
        </w:rPr>
        <w:t>.</w:t>
      </w:r>
    </w:p>
    <w:p w:rsidR="00AF455F" w:rsidRDefault="009144ED" w:rsidP="00535A9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D7ED4">
        <w:rPr>
          <w:rFonts w:ascii="Arial" w:hAnsi="Arial" w:cs="Arial"/>
        </w:rPr>
        <w:t>t is promising to see that</w:t>
      </w:r>
      <w:r w:rsidR="00535A92" w:rsidRPr="009B009D">
        <w:rPr>
          <w:rFonts w:ascii="Arial" w:hAnsi="Arial" w:cs="Arial"/>
        </w:rPr>
        <w:t xml:space="preserve"> issues relating to</w:t>
      </w:r>
      <w:r>
        <w:rPr>
          <w:rFonts w:ascii="Arial" w:hAnsi="Arial" w:cs="Arial"/>
        </w:rPr>
        <w:t xml:space="preserve"> areas of advertising</w:t>
      </w:r>
      <w:r w:rsidR="00AF455F">
        <w:rPr>
          <w:rFonts w:ascii="Arial" w:hAnsi="Arial" w:cs="Arial"/>
        </w:rPr>
        <w:t xml:space="preserve"> are few in numbers and similarly customer service disputes are low in numbers, with issues relating to staff occurring when no common ground can be found in a dispute as opposed to being the main driver of the complaint.</w:t>
      </w:r>
    </w:p>
    <w:p w:rsidR="000D7ED4" w:rsidRDefault="000D7ED4" w:rsidP="00535A92">
      <w:pPr>
        <w:rPr>
          <w:rFonts w:ascii="Arial" w:hAnsi="Arial" w:cs="Arial"/>
        </w:rPr>
      </w:pPr>
      <w:r>
        <w:rPr>
          <w:rFonts w:ascii="Arial" w:hAnsi="Arial" w:cs="Arial"/>
        </w:rPr>
        <w:t>Most</w:t>
      </w:r>
      <w:r w:rsidR="00535A92" w:rsidRPr="009B009D">
        <w:rPr>
          <w:rFonts w:ascii="Arial" w:hAnsi="Arial" w:cs="Arial"/>
        </w:rPr>
        <w:t xml:space="preserve"> issues</w:t>
      </w:r>
      <w:r>
        <w:rPr>
          <w:rFonts w:ascii="Arial" w:hAnsi="Arial" w:cs="Arial"/>
        </w:rPr>
        <w:t xml:space="preserve"> are borne out of individual disputes which arise from</w:t>
      </w:r>
      <w:r w:rsidR="00535A92" w:rsidRPr="009B009D">
        <w:rPr>
          <w:rFonts w:ascii="Arial" w:hAnsi="Arial" w:cs="Arial"/>
        </w:rPr>
        <w:t xml:space="preserve"> faulty goods </w:t>
      </w:r>
      <w:r>
        <w:rPr>
          <w:rFonts w:ascii="Arial" w:hAnsi="Arial" w:cs="Arial"/>
        </w:rPr>
        <w:t xml:space="preserve">and or </w:t>
      </w:r>
      <w:r w:rsidR="00535A92" w:rsidRPr="009B009D">
        <w:rPr>
          <w:rFonts w:ascii="Arial" w:hAnsi="Arial" w:cs="Arial"/>
        </w:rPr>
        <w:t xml:space="preserve">a dispute arising under warranty </w:t>
      </w:r>
      <w:r>
        <w:rPr>
          <w:rFonts w:ascii="Arial" w:hAnsi="Arial" w:cs="Arial"/>
        </w:rPr>
        <w:t xml:space="preserve">in addition to </w:t>
      </w:r>
      <w:r w:rsidR="00535A92" w:rsidRPr="009B009D">
        <w:rPr>
          <w:rFonts w:ascii="Arial" w:hAnsi="Arial" w:cs="Arial"/>
        </w:rPr>
        <w:t xml:space="preserve">issues with repairs. </w:t>
      </w:r>
    </w:p>
    <w:p w:rsidR="000D7ED4" w:rsidRDefault="00535A92" w:rsidP="00535A92">
      <w:pPr>
        <w:rPr>
          <w:rFonts w:ascii="Arial" w:hAnsi="Arial" w:cs="Arial"/>
        </w:rPr>
      </w:pPr>
      <w:r w:rsidRPr="009B009D">
        <w:rPr>
          <w:rFonts w:ascii="Arial" w:hAnsi="Arial" w:cs="Arial"/>
        </w:rPr>
        <w:t xml:space="preserve">Many of these issues are exasperated by intermittent faults that are not always easily diagnosed and others can be from a breakdown in communication between the consumer and the trader. </w:t>
      </w:r>
    </w:p>
    <w:p w:rsidR="000D7ED4" w:rsidRDefault="000D7ED4" w:rsidP="00535A92">
      <w:pPr>
        <w:rPr>
          <w:rFonts w:ascii="Arial" w:hAnsi="Arial" w:cs="Arial"/>
        </w:rPr>
      </w:pPr>
      <w:r>
        <w:rPr>
          <w:rFonts w:ascii="Arial" w:hAnsi="Arial" w:cs="Arial"/>
        </w:rPr>
        <w:t>Where there is evidence of a systemic issue with a business not meeting the standards expected of an accredited business they will then be subjected to a range of sanctions within our com</w:t>
      </w:r>
      <w:r w:rsidR="008F1C98">
        <w:rPr>
          <w:rFonts w:ascii="Arial" w:hAnsi="Arial" w:cs="Arial"/>
        </w:rPr>
        <w:t>pliance regime. The aim of our c</w:t>
      </w:r>
      <w:r>
        <w:rPr>
          <w:rFonts w:ascii="Arial" w:hAnsi="Arial" w:cs="Arial"/>
        </w:rPr>
        <w:t>odes is first and foremost to raise standards</w:t>
      </w:r>
      <w:r w:rsidR="008F1C98">
        <w:rPr>
          <w:rFonts w:ascii="Arial" w:hAnsi="Arial" w:cs="Arial"/>
        </w:rPr>
        <w:t xml:space="preserve"> as opposed to penalising businesses.</w:t>
      </w:r>
      <w:r w:rsidR="003A5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TMO will offer guidance to a business in the firs</w:t>
      </w:r>
      <w:r w:rsidR="003A5445">
        <w:rPr>
          <w:rFonts w:ascii="Arial" w:hAnsi="Arial" w:cs="Arial"/>
        </w:rPr>
        <w:t>t instance about how to improve and allow a reasonable opportunity for this to be effected.</w:t>
      </w:r>
      <w:r>
        <w:rPr>
          <w:rFonts w:ascii="Arial" w:hAnsi="Arial" w:cs="Arial"/>
        </w:rPr>
        <w:t xml:space="preserve"> </w:t>
      </w:r>
    </w:p>
    <w:p w:rsidR="000D7ED4" w:rsidRDefault="000D7ED4" w:rsidP="00535A92">
      <w:pPr>
        <w:rPr>
          <w:rFonts w:ascii="Arial" w:hAnsi="Arial" w:cs="Arial"/>
        </w:rPr>
      </w:pPr>
      <w:r>
        <w:rPr>
          <w:rFonts w:ascii="Arial" w:hAnsi="Arial" w:cs="Arial"/>
        </w:rPr>
        <w:t>For more severe or persistent failures or where a business has not improved after a reasonable period of time</w:t>
      </w:r>
      <w:r w:rsidR="008F1C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TMO may suspend or expel a business from </w:t>
      </w:r>
      <w:r w:rsidR="00AF455F">
        <w:rPr>
          <w:rFonts w:ascii="Arial" w:hAnsi="Arial" w:cs="Arial"/>
        </w:rPr>
        <w:t xml:space="preserve">the </w:t>
      </w:r>
      <w:r w:rsidR="008F1C98">
        <w:rPr>
          <w:rFonts w:ascii="Arial" w:hAnsi="Arial" w:cs="Arial"/>
        </w:rPr>
        <w:t>code. Expulsion is the severest sanction</w:t>
      </w:r>
      <w:r>
        <w:rPr>
          <w:rFonts w:ascii="Arial" w:hAnsi="Arial" w:cs="Arial"/>
        </w:rPr>
        <w:t xml:space="preserve"> with a consumer warning flagged on our website for a period thereafter to notify consumers of the non-</w:t>
      </w:r>
      <w:r w:rsidR="00AF455F">
        <w:rPr>
          <w:rFonts w:ascii="Arial" w:hAnsi="Arial" w:cs="Arial"/>
        </w:rPr>
        <w:t>compliance.</w:t>
      </w:r>
    </w:p>
    <w:p w:rsidR="00AF455F" w:rsidRDefault="00535A92" w:rsidP="00535A92">
      <w:pPr>
        <w:rPr>
          <w:rFonts w:ascii="Arial" w:hAnsi="Arial" w:cs="Arial"/>
        </w:rPr>
      </w:pPr>
      <w:r w:rsidRPr="009B009D">
        <w:rPr>
          <w:rFonts w:ascii="Arial" w:hAnsi="Arial" w:cs="Arial"/>
        </w:rPr>
        <w:t xml:space="preserve">While there has been a small increase in contacts relating to new cars and service and repair, this </w:t>
      </w:r>
      <w:r w:rsidR="00A76A4C">
        <w:rPr>
          <w:rFonts w:ascii="Arial" w:hAnsi="Arial" w:cs="Arial"/>
        </w:rPr>
        <w:t xml:space="preserve">can </w:t>
      </w:r>
      <w:r w:rsidR="00276E89">
        <w:rPr>
          <w:rFonts w:ascii="Arial" w:hAnsi="Arial" w:cs="Arial"/>
        </w:rPr>
        <w:t>fluctuate</w:t>
      </w:r>
      <w:r w:rsidR="00A76A4C">
        <w:rPr>
          <w:rFonts w:ascii="Arial" w:hAnsi="Arial" w:cs="Arial"/>
        </w:rPr>
        <w:t xml:space="preserve"> for a number of reasons</w:t>
      </w:r>
      <w:r w:rsidR="00276E89">
        <w:rPr>
          <w:rFonts w:ascii="Arial" w:hAnsi="Arial" w:cs="Arial"/>
        </w:rPr>
        <w:t xml:space="preserve">, for example </w:t>
      </w:r>
      <w:r w:rsidR="00A76A4C">
        <w:rPr>
          <w:rFonts w:ascii="Arial" w:hAnsi="Arial" w:cs="Arial"/>
        </w:rPr>
        <w:t>we have seen more businesses referring their customers in recent years, and economic factors such a</w:t>
      </w:r>
      <w:r w:rsidR="00276E89">
        <w:rPr>
          <w:rFonts w:ascii="Arial" w:hAnsi="Arial" w:cs="Arial"/>
        </w:rPr>
        <w:t>s the volume of new car registrations increasing in the last few years</w:t>
      </w:r>
      <w:r w:rsidR="00A76A4C">
        <w:rPr>
          <w:rFonts w:ascii="Arial" w:hAnsi="Arial" w:cs="Arial"/>
        </w:rPr>
        <w:t xml:space="preserve"> will also play a part. S</w:t>
      </w:r>
      <w:r w:rsidR="00276E89">
        <w:rPr>
          <w:rFonts w:ascii="Arial" w:hAnsi="Arial" w:cs="Arial"/>
        </w:rPr>
        <w:t xml:space="preserve">imilarly </w:t>
      </w:r>
      <w:r w:rsidR="00A76A4C">
        <w:rPr>
          <w:rFonts w:ascii="Arial" w:hAnsi="Arial" w:cs="Arial"/>
        </w:rPr>
        <w:t>the landscape has</w:t>
      </w:r>
      <w:r w:rsidRPr="009B009D">
        <w:rPr>
          <w:rFonts w:ascii="Arial" w:hAnsi="Arial" w:cs="Arial"/>
        </w:rPr>
        <w:t xml:space="preserve"> been impacted by the implementation of the </w:t>
      </w:r>
      <w:r w:rsidR="00A76A4C">
        <w:rPr>
          <w:rFonts w:ascii="Arial" w:hAnsi="Arial" w:cs="Arial"/>
        </w:rPr>
        <w:t>EU Directive for ADR</w:t>
      </w:r>
      <w:r w:rsidR="00AF455F">
        <w:rPr>
          <w:rFonts w:ascii="Arial" w:hAnsi="Arial" w:cs="Arial"/>
        </w:rPr>
        <w:t xml:space="preserve"> and the Consumer Rights Act 2015, which set out to simplify consumer law by harmonising eight </w:t>
      </w:r>
      <w:r w:rsidR="00A76A4C">
        <w:rPr>
          <w:rFonts w:ascii="Arial" w:hAnsi="Arial" w:cs="Arial"/>
        </w:rPr>
        <w:t>sets of existing legislation, and</w:t>
      </w:r>
      <w:r w:rsidR="00AF455F">
        <w:rPr>
          <w:rFonts w:ascii="Arial" w:hAnsi="Arial" w:cs="Arial"/>
        </w:rPr>
        <w:t xml:space="preserve"> in turn empower</w:t>
      </w:r>
      <w:r w:rsidR="00A76A4C">
        <w:rPr>
          <w:rFonts w:ascii="Arial" w:hAnsi="Arial" w:cs="Arial"/>
        </w:rPr>
        <w:t xml:space="preserve">ing </w:t>
      </w:r>
      <w:r w:rsidR="00AF455F">
        <w:rPr>
          <w:rFonts w:ascii="Arial" w:hAnsi="Arial" w:cs="Arial"/>
        </w:rPr>
        <w:t>consumers</w:t>
      </w:r>
      <w:r w:rsidRPr="009B009D">
        <w:rPr>
          <w:rFonts w:ascii="Arial" w:hAnsi="Arial" w:cs="Arial"/>
        </w:rPr>
        <w:t>.</w:t>
      </w:r>
    </w:p>
    <w:p w:rsidR="007A5872" w:rsidRDefault="00535A92" w:rsidP="007A5872">
      <w:pPr>
        <w:rPr>
          <w:rFonts w:ascii="Arial" w:hAnsi="Arial" w:cs="Arial"/>
        </w:rPr>
      </w:pPr>
      <w:r w:rsidRPr="009B009D">
        <w:rPr>
          <w:rFonts w:ascii="Arial" w:hAnsi="Arial" w:cs="Arial"/>
        </w:rPr>
        <w:t>However the key area we have seen increased levels of contact has been around point of sale issues, particularly sales made at a distance and deposits.</w:t>
      </w:r>
      <w:r w:rsidR="007A5872">
        <w:rPr>
          <w:rFonts w:ascii="Arial" w:hAnsi="Arial" w:cs="Arial"/>
        </w:rPr>
        <w:t xml:space="preserve"> </w:t>
      </w:r>
    </w:p>
    <w:p w:rsidR="007A5872" w:rsidRPr="009B009D" w:rsidRDefault="00A76A4C" w:rsidP="007A5872">
      <w:pPr>
        <w:rPr>
          <w:rFonts w:ascii="Arial" w:hAnsi="Arial" w:cs="Arial"/>
        </w:rPr>
      </w:pPr>
      <w:r>
        <w:rPr>
          <w:rFonts w:ascii="Arial" w:hAnsi="Arial" w:cs="Arial"/>
        </w:rPr>
        <w:t>While TMO has not historically dealt with point of sale issues, of the enquiries we have been receiving it is clear there has been a trend whereby sales</w:t>
      </w:r>
      <w:r w:rsidR="007A5872" w:rsidRPr="009B009D">
        <w:rPr>
          <w:rFonts w:ascii="Arial" w:hAnsi="Arial" w:cs="Arial"/>
        </w:rPr>
        <w:t xml:space="preserve"> concluded at a distance are causing </w:t>
      </w:r>
      <w:r>
        <w:rPr>
          <w:rFonts w:ascii="Arial" w:hAnsi="Arial" w:cs="Arial"/>
        </w:rPr>
        <w:t xml:space="preserve">some traders </w:t>
      </w:r>
      <w:r w:rsidR="007A5872" w:rsidRPr="009B009D">
        <w:rPr>
          <w:rFonts w:ascii="Arial" w:hAnsi="Arial" w:cs="Arial"/>
        </w:rPr>
        <w:t>confusion</w:t>
      </w:r>
      <w:r>
        <w:rPr>
          <w:rFonts w:ascii="Arial" w:hAnsi="Arial" w:cs="Arial"/>
        </w:rPr>
        <w:t>. Primari</w:t>
      </w:r>
      <w:r w:rsidR="007A5872" w:rsidRPr="009B009D">
        <w:rPr>
          <w:rFonts w:ascii="Arial" w:hAnsi="Arial" w:cs="Arial"/>
        </w:rPr>
        <w:t xml:space="preserve">ly businesses are unclear as to what constitutes a distance sale </w:t>
      </w:r>
      <w:r w:rsidR="007A5872">
        <w:rPr>
          <w:rFonts w:ascii="Arial" w:hAnsi="Arial" w:cs="Arial"/>
        </w:rPr>
        <w:t>and</w:t>
      </w:r>
      <w:r w:rsidR="007A5872" w:rsidRPr="009B009D">
        <w:rPr>
          <w:rFonts w:ascii="Arial" w:hAnsi="Arial" w:cs="Arial"/>
        </w:rPr>
        <w:t xml:space="preserve"> </w:t>
      </w:r>
      <w:r w:rsidR="007A5872">
        <w:rPr>
          <w:rFonts w:ascii="Arial" w:hAnsi="Arial" w:cs="Arial"/>
        </w:rPr>
        <w:t>therefore</w:t>
      </w:r>
      <w:r w:rsidR="007A5872" w:rsidRPr="009B009D">
        <w:rPr>
          <w:rFonts w:ascii="Arial" w:hAnsi="Arial" w:cs="Arial"/>
        </w:rPr>
        <w:t xml:space="preserve"> what </w:t>
      </w:r>
      <w:r w:rsidR="007A5872">
        <w:rPr>
          <w:rFonts w:ascii="Arial" w:hAnsi="Arial" w:cs="Arial"/>
        </w:rPr>
        <w:t xml:space="preserve">cancellation </w:t>
      </w:r>
      <w:r w:rsidR="007A5872" w:rsidRPr="009B009D">
        <w:rPr>
          <w:rFonts w:ascii="Arial" w:hAnsi="Arial" w:cs="Arial"/>
        </w:rPr>
        <w:t>rights a consumer has, including the return of deposits.</w:t>
      </w:r>
    </w:p>
    <w:p w:rsidR="0018124A" w:rsidRDefault="0018124A" w:rsidP="00535A92">
      <w:pPr>
        <w:rPr>
          <w:rFonts w:ascii="Arial" w:hAnsi="Arial" w:cs="Arial"/>
          <w:b/>
          <w:color w:val="33CAFF"/>
        </w:rPr>
      </w:pPr>
    </w:p>
    <w:p w:rsidR="0018124A" w:rsidRDefault="0018124A" w:rsidP="00535A92">
      <w:pPr>
        <w:rPr>
          <w:rFonts w:ascii="Arial" w:hAnsi="Arial" w:cs="Arial"/>
          <w:b/>
          <w:color w:val="33CAFF"/>
        </w:rPr>
      </w:pPr>
    </w:p>
    <w:p w:rsidR="0018124A" w:rsidRDefault="0018124A" w:rsidP="00535A92">
      <w:pPr>
        <w:rPr>
          <w:rFonts w:ascii="Arial" w:hAnsi="Arial" w:cs="Arial"/>
          <w:b/>
          <w:color w:val="33CAFF"/>
        </w:rPr>
      </w:pPr>
    </w:p>
    <w:p w:rsidR="00AF455F" w:rsidRPr="002D20F0" w:rsidRDefault="007A5872" w:rsidP="00535A92">
      <w:pPr>
        <w:rPr>
          <w:rFonts w:ascii="Arial" w:hAnsi="Arial" w:cs="Arial"/>
          <w:b/>
          <w:color w:val="33CAFF"/>
        </w:rPr>
      </w:pPr>
      <w:r>
        <w:rPr>
          <w:rFonts w:ascii="Arial" w:hAnsi="Arial" w:cs="Arial"/>
          <w:b/>
          <w:color w:val="33CAFF"/>
        </w:rPr>
        <w:t xml:space="preserve">Section 2(b) </w:t>
      </w:r>
      <w:r w:rsidR="00535A92" w:rsidRPr="002D20F0">
        <w:rPr>
          <w:rFonts w:ascii="Arial" w:hAnsi="Arial" w:cs="Arial"/>
          <w:b/>
          <w:color w:val="33CAFF"/>
        </w:rPr>
        <w:t xml:space="preserve">How can this be problem be avoided or resolved in future? </w:t>
      </w:r>
    </w:p>
    <w:p w:rsidR="00AF455F" w:rsidRDefault="00A76A4C" w:rsidP="00535A92">
      <w:pPr>
        <w:rPr>
          <w:rFonts w:ascii="Arial" w:hAnsi="Arial" w:cs="Arial"/>
        </w:rPr>
      </w:pPr>
      <w:r>
        <w:rPr>
          <w:rFonts w:ascii="Arial" w:hAnsi="Arial" w:cs="Arial"/>
        </w:rPr>
        <w:t>Our c</w:t>
      </w:r>
      <w:r w:rsidR="00535A92" w:rsidRPr="009B009D">
        <w:rPr>
          <w:rFonts w:ascii="Arial" w:hAnsi="Arial" w:cs="Arial"/>
        </w:rPr>
        <w:t xml:space="preserve">odes set out a specific set of commitments that traders should comply with and in turn ensures they are operating transparently and importantly fairly with their customers. </w:t>
      </w:r>
    </w:p>
    <w:p w:rsidR="007A5872" w:rsidRDefault="00AF455F" w:rsidP="00535A9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35A92" w:rsidRPr="009B009D">
        <w:rPr>
          <w:rFonts w:ascii="Arial" w:hAnsi="Arial" w:cs="Arial"/>
        </w:rPr>
        <w:t>ehicle point of sale issues has been one of the top complained about issues in the UK</w:t>
      </w:r>
      <w:r>
        <w:rPr>
          <w:rFonts w:ascii="Arial" w:hAnsi="Arial" w:cs="Arial"/>
        </w:rPr>
        <w:t xml:space="preserve"> with it continuously featuring on the Consumer A</w:t>
      </w:r>
      <w:r w:rsidR="0018124A">
        <w:rPr>
          <w:rFonts w:ascii="Arial" w:hAnsi="Arial" w:cs="Arial"/>
        </w:rPr>
        <w:t>dvice top 10 list of complaints prompting Government to set up a Used Car Commission in 2013.</w:t>
      </w:r>
    </w:p>
    <w:p w:rsidR="00541FAD" w:rsidRDefault="00AF455F" w:rsidP="00535A92">
      <w:pPr>
        <w:rPr>
          <w:rFonts w:ascii="Arial" w:hAnsi="Arial" w:cs="Arial"/>
        </w:rPr>
      </w:pPr>
      <w:r>
        <w:rPr>
          <w:rFonts w:ascii="Arial" w:hAnsi="Arial" w:cs="Arial"/>
        </w:rPr>
        <w:t>Following research undertaken by the commission</w:t>
      </w:r>
      <w:r w:rsidR="00276E89">
        <w:rPr>
          <w:rFonts w:ascii="Arial" w:hAnsi="Arial" w:cs="Arial"/>
        </w:rPr>
        <w:t xml:space="preserve"> </w:t>
      </w:r>
      <w:r w:rsidR="00541FAD">
        <w:rPr>
          <w:rFonts w:ascii="Arial" w:hAnsi="Arial" w:cs="Arial"/>
        </w:rPr>
        <w:t>some of the research did indicate a broadly compliant marketplace which was valued at £38.1 billion in 2013 with 7.1 million transactions a year.</w:t>
      </w:r>
    </w:p>
    <w:p w:rsidR="0018124A" w:rsidRDefault="00541FAD" w:rsidP="00535A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 not all of the research </w:t>
      </w:r>
      <w:r w:rsidR="0018124A">
        <w:rPr>
          <w:rFonts w:ascii="Arial" w:hAnsi="Arial" w:cs="Arial"/>
        </w:rPr>
        <w:t>supported</w:t>
      </w:r>
      <w:r>
        <w:rPr>
          <w:rFonts w:ascii="Arial" w:hAnsi="Arial" w:cs="Arial"/>
        </w:rPr>
        <w:t xml:space="preserve"> this, </w:t>
      </w:r>
      <w:r w:rsidR="0018124A">
        <w:rPr>
          <w:rFonts w:ascii="Arial" w:hAnsi="Arial" w:cs="Arial"/>
        </w:rPr>
        <w:t>with the market being deemed a complex one that is not homogeneous.</w:t>
      </w:r>
    </w:p>
    <w:p w:rsidR="00276E89" w:rsidRDefault="0018124A" w:rsidP="00535A9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F455F">
        <w:rPr>
          <w:rFonts w:ascii="Arial" w:hAnsi="Arial" w:cs="Arial"/>
        </w:rPr>
        <w:t xml:space="preserve">ith vehicles often being the second largest purchase a consumer will make in their lifetime </w:t>
      </w:r>
      <w:r w:rsidR="00276E89">
        <w:rPr>
          <w:rFonts w:ascii="Arial" w:hAnsi="Arial" w:cs="Arial"/>
        </w:rPr>
        <w:t>this can cause a high level of detr</w:t>
      </w:r>
      <w:r>
        <w:rPr>
          <w:rFonts w:ascii="Arial" w:hAnsi="Arial" w:cs="Arial"/>
        </w:rPr>
        <w:t>iment where an issue does arise and this is not always limited to financial detriment</w:t>
      </w:r>
      <w:r w:rsidR="00A76A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consumers </w:t>
      </w:r>
      <w:r w:rsidR="00A76A4C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rely on their vehicle </w:t>
      </w:r>
      <w:r w:rsidR="00A76A4C">
        <w:rPr>
          <w:rFonts w:ascii="Arial" w:hAnsi="Arial" w:cs="Arial"/>
        </w:rPr>
        <w:t xml:space="preserve">for a number of </w:t>
      </w:r>
      <w:r>
        <w:rPr>
          <w:rFonts w:ascii="Arial" w:hAnsi="Arial" w:cs="Arial"/>
        </w:rPr>
        <w:t>reasons.</w:t>
      </w:r>
    </w:p>
    <w:p w:rsidR="003A5445" w:rsidRDefault="00276E89" w:rsidP="00535A92">
      <w:pPr>
        <w:rPr>
          <w:rFonts w:ascii="Arial" w:hAnsi="Arial" w:cs="Arial"/>
        </w:rPr>
      </w:pPr>
      <w:r>
        <w:rPr>
          <w:rFonts w:ascii="Arial" w:hAnsi="Arial" w:cs="Arial"/>
        </w:rPr>
        <w:t>To address t</w:t>
      </w:r>
      <w:r w:rsidR="002D20F0">
        <w:rPr>
          <w:rFonts w:ascii="Arial" w:hAnsi="Arial" w:cs="Arial"/>
        </w:rPr>
        <w:t>his</w:t>
      </w:r>
      <w:r w:rsidR="00A76A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TMO has </w:t>
      </w:r>
      <w:r w:rsidR="00535A92" w:rsidRPr="009B009D">
        <w:rPr>
          <w:rFonts w:ascii="Arial" w:hAnsi="Arial" w:cs="Arial"/>
        </w:rPr>
        <w:t xml:space="preserve">developed a sales code of practice </w:t>
      </w:r>
      <w:r>
        <w:rPr>
          <w:rFonts w:ascii="Arial" w:hAnsi="Arial" w:cs="Arial"/>
        </w:rPr>
        <w:t xml:space="preserve">in </w:t>
      </w:r>
      <w:r w:rsidR="00535A92" w:rsidRPr="009B009D">
        <w:rPr>
          <w:rFonts w:ascii="Arial" w:hAnsi="Arial" w:cs="Arial"/>
        </w:rPr>
        <w:t>consult</w:t>
      </w:r>
      <w:r>
        <w:rPr>
          <w:rFonts w:ascii="Arial" w:hAnsi="Arial" w:cs="Arial"/>
        </w:rPr>
        <w:t>ation with</w:t>
      </w:r>
      <w:r w:rsidR="00535A92" w:rsidRPr="009B009D">
        <w:rPr>
          <w:rFonts w:ascii="Arial" w:hAnsi="Arial" w:cs="Arial"/>
        </w:rPr>
        <w:t xml:space="preserve"> both the consumer lobby and</w:t>
      </w:r>
      <w:r>
        <w:rPr>
          <w:rFonts w:ascii="Arial" w:hAnsi="Arial" w:cs="Arial"/>
        </w:rPr>
        <w:t xml:space="preserve"> automotive </w:t>
      </w:r>
      <w:r w:rsidR="00535A92" w:rsidRPr="009B009D">
        <w:rPr>
          <w:rFonts w:ascii="Arial" w:hAnsi="Arial" w:cs="Arial"/>
        </w:rPr>
        <w:t>industry to produce a robust</w:t>
      </w:r>
      <w:r w:rsidR="002D20F0">
        <w:rPr>
          <w:rFonts w:ascii="Arial" w:hAnsi="Arial" w:cs="Arial"/>
        </w:rPr>
        <w:t xml:space="preserve"> set of </w:t>
      </w:r>
      <w:r w:rsidR="00535A92" w:rsidRPr="009B009D">
        <w:rPr>
          <w:rFonts w:ascii="Arial" w:hAnsi="Arial" w:cs="Arial"/>
        </w:rPr>
        <w:t>s</w:t>
      </w:r>
      <w:r w:rsidR="002D20F0">
        <w:rPr>
          <w:rFonts w:ascii="Arial" w:hAnsi="Arial" w:cs="Arial"/>
        </w:rPr>
        <w:t>tandards for vehicle retailers as well as practical guidance for consumers.</w:t>
      </w:r>
    </w:p>
    <w:p w:rsidR="002D20F0" w:rsidRDefault="00A76A4C" w:rsidP="00535A92">
      <w:pPr>
        <w:rPr>
          <w:rFonts w:ascii="Arial" w:hAnsi="Arial" w:cs="Arial"/>
        </w:rPr>
      </w:pPr>
      <w:r>
        <w:rPr>
          <w:rFonts w:ascii="Arial" w:hAnsi="Arial" w:cs="Arial"/>
        </w:rPr>
        <w:t>The sales c</w:t>
      </w:r>
      <w:r w:rsidR="00535A92" w:rsidRPr="009B009D">
        <w:rPr>
          <w:rFonts w:ascii="Arial" w:hAnsi="Arial" w:cs="Arial"/>
        </w:rPr>
        <w:t>ode was launched on the 1st October 2016</w:t>
      </w:r>
      <w:r>
        <w:rPr>
          <w:rFonts w:ascii="Arial" w:hAnsi="Arial" w:cs="Arial"/>
        </w:rPr>
        <w:t>, covering the sale of both new and used vehicles. The sales code</w:t>
      </w:r>
      <w:r w:rsidR="00535A92" w:rsidRPr="009B009D">
        <w:rPr>
          <w:rFonts w:ascii="Arial" w:hAnsi="Arial" w:cs="Arial"/>
        </w:rPr>
        <w:t xml:space="preserve"> will</w:t>
      </w:r>
      <w:r w:rsidR="003A5445">
        <w:rPr>
          <w:rFonts w:ascii="Arial" w:hAnsi="Arial" w:cs="Arial"/>
        </w:rPr>
        <w:t xml:space="preserve"> not only</w:t>
      </w:r>
      <w:r w:rsidR="00535A92" w:rsidRPr="009B009D">
        <w:rPr>
          <w:rFonts w:ascii="Arial" w:hAnsi="Arial" w:cs="Arial"/>
        </w:rPr>
        <w:t xml:space="preserve"> allow consumers to identify responsible code approved </w:t>
      </w:r>
      <w:r w:rsidR="003A5445">
        <w:rPr>
          <w:rFonts w:ascii="Arial" w:hAnsi="Arial" w:cs="Arial"/>
        </w:rPr>
        <w:t>businesses</w:t>
      </w:r>
      <w:r w:rsidR="00535A92" w:rsidRPr="009B009D">
        <w:rPr>
          <w:rFonts w:ascii="Arial" w:hAnsi="Arial" w:cs="Arial"/>
        </w:rPr>
        <w:t xml:space="preserve"> </w:t>
      </w:r>
      <w:r w:rsidR="003A5445">
        <w:rPr>
          <w:rFonts w:ascii="Arial" w:hAnsi="Arial" w:cs="Arial"/>
        </w:rPr>
        <w:t xml:space="preserve">but provide peace of mind that should </w:t>
      </w:r>
      <w:r w:rsidR="00535A92" w:rsidRPr="009B009D">
        <w:rPr>
          <w:rFonts w:ascii="Arial" w:hAnsi="Arial" w:cs="Arial"/>
        </w:rPr>
        <w:t xml:space="preserve"> a problem occur the consumer to have access to our free ADR service. </w:t>
      </w:r>
    </w:p>
    <w:p w:rsidR="002D20F0" w:rsidRDefault="00535A92" w:rsidP="00535A92">
      <w:pPr>
        <w:rPr>
          <w:rFonts w:ascii="Arial" w:hAnsi="Arial" w:cs="Arial"/>
        </w:rPr>
      </w:pPr>
      <w:r w:rsidRPr="009B009D">
        <w:rPr>
          <w:rFonts w:ascii="Arial" w:hAnsi="Arial" w:cs="Arial"/>
        </w:rPr>
        <w:t>Further to the deployment of a sales code we have developed in conjunction with CTSI, a suite of online</w:t>
      </w:r>
      <w:r w:rsidR="002D20F0">
        <w:rPr>
          <w:rFonts w:ascii="Arial" w:hAnsi="Arial" w:cs="Arial"/>
        </w:rPr>
        <w:t xml:space="preserve"> training courses that TMO c</w:t>
      </w:r>
      <w:r w:rsidRPr="009B009D">
        <w:rPr>
          <w:rFonts w:ascii="Arial" w:hAnsi="Arial" w:cs="Arial"/>
        </w:rPr>
        <w:t>ode a</w:t>
      </w:r>
      <w:r w:rsidR="002D20F0">
        <w:rPr>
          <w:rFonts w:ascii="Arial" w:hAnsi="Arial" w:cs="Arial"/>
        </w:rPr>
        <w:t>ccredited businesses can access to learn more about their legal obligations.</w:t>
      </w:r>
    </w:p>
    <w:p w:rsidR="00535A92" w:rsidRDefault="002D20F0" w:rsidP="00535A9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35A92" w:rsidRPr="009B009D">
        <w:rPr>
          <w:rFonts w:ascii="Arial" w:hAnsi="Arial" w:cs="Arial"/>
        </w:rPr>
        <w:t>urrently these cover the Consumer Rights Ac</w:t>
      </w:r>
      <w:r>
        <w:rPr>
          <w:rFonts w:ascii="Arial" w:hAnsi="Arial" w:cs="Arial"/>
        </w:rPr>
        <w:t xml:space="preserve">t 2015 and the ADR regulations and </w:t>
      </w:r>
      <w:r w:rsidR="00535A92" w:rsidRPr="009B009D">
        <w:rPr>
          <w:rFonts w:ascii="Arial" w:hAnsi="Arial" w:cs="Arial"/>
        </w:rPr>
        <w:t xml:space="preserve"> to aid businesses who are selling vehicles, </w:t>
      </w:r>
      <w:r>
        <w:rPr>
          <w:rFonts w:ascii="Arial" w:hAnsi="Arial" w:cs="Arial"/>
        </w:rPr>
        <w:t xml:space="preserve">TMO </w:t>
      </w:r>
      <w:r w:rsidR="00535A92" w:rsidRPr="009B009D">
        <w:rPr>
          <w:rFonts w:ascii="Arial" w:hAnsi="Arial" w:cs="Arial"/>
        </w:rPr>
        <w:t xml:space="preserve">are currently developing a further training course that will cover </w:t>
      </w:r>
      <w:r w:rsidR="007A5872">
        <w:rPr>
          <w:rFonts w:ascii="Arial" w:hAnsi="Arial" w:cs="Arial"/>
        </w:rPr>
        <w:t xml:space="preserve">the </w:t>
      </w:r>
      <w:r w:rsidR="00535A92" w:rsidRPr="009B009D">
        <w:rPr>
          <w:rFonts w:ascii="Arial" w:hAnsi="Arial" w:cs="Arial"/>
        </w:rPr>
        <w:t xml:space="preserve">legal obligations </w:t>
      </w:r>
      <w:r w:rsidR="007A5872">
        <w:rPr>
          <w:rFonts w:ascii="Arial" w:hAnsi="Arial" w:cs="Arial"/>
        </w:rPr>
        <w:t xml:space="preserve">of a business </w:t>
      </w:r>
      <w:r w:rsidR="00535A92" w:rsidRPr="009B009D">
        <w:rPr>
          <w:rFonts w:ascii="Arial" w:hAnsi="Arial" w:cs="Arial"/>
        </w:rPr>
        <w:t>under The Consumer Contracts (Information, Cancellation and Additional Charges) Regulations 2013</w:t>
      </w:r>
      <w:r w:rsidR="007A5872">
        <w:rPr>
          <w:rFonts w:ascii="Arial" w:hAnsi="Arial" w:cs="Arial"/>
        </w:rPr>
        <w:t xml:space="preserve">. </w:t>
      </w:r>
      <w:r w:rsidR="00535A92" w:rsidRPr="009B009D">
        <w:rPr>
          <w:rFonts w:ascii="Arial" w:hAnsi="Arial" w:cs="Arial"/>
        </w:rPr>
        <w:t xml:space="preserve"> </w:t>
      </w:r>
    </w:p>
    <w:p w:rsidR="007A5872" w:rsidRDefault="007A5872" w:rsidP="00535A92">
      <w:pPr>
        <w:rPr>
          <w:rFonts w:ascii="Arial" w:hAnsi="Arial" w:cs="Arial"/>
          <w:b/>
          <w:color w:val="33CAFF"/>
        </w:rPr>
      </w:pPr>
      <w:r w:rsidRPr="007A5872">
        <w:rPr>
          <w:rFonts w:ascii="Arial" w:hAnsi="Arial" w:cs="Arial"/>
          <w:b/>
          <w:color w:val="33CAFF"/>
        </w:rPr>
        <w:t xml:space="preserve">Section 3(a) – </w:t>
      </w:r>
      <w:r>
        <w:rPr>
          <w:rFonts w:ascii="Arial" w:hAnsi="Arial" w:cs="Arial"/>
          <w:b/>
          <w:color w:val="33CAFF"/>
        </w:rPr>
        <w:t>Average l</w:t>
      </w:r>
      <w:r w:rsidRPr="007A5872">
        <w:rPr>
          <w:rFonts w:ascii="Arial" w:hAnsi="Arial" w:cs="Arial"/>
          <w:b/>
          <w:color w:val="33CAFF"/>
        </w:rPr>
        <w:t xml:space="preserve">ength of </w:t>
      </w:r>
      <w:r>
        <w:rPr>
          <w:rFonts w:ascii="Arial" w:hAnsi="Arial" w:cs="Arial"/>
          <w:b/>
          <w:color w:val="33CAFF"/>
        </w:rPr>
        <w:t xml:space="preserve">ADR </w:t>
      </w:r>
      <w:r w:rsidRPr="007A5872">
        <w:rPr>
          <w:rFonts w:ascii="Arial" w:hAnsi="Arial" w:cs="Arial"/>
          <w:b/>
          <w:color w:val="33CAFF"/>
        </w:rPr>
        <w:t>proceedings</w:t>
      </w:r>
    </w:p>
    <w:p w:rsidR="00A3449C" w:rsidRDefault="007A5872" w:rsidP="00535A92">
      <w:pPr>
        <w:rPr>
          <w:rFonts w:ascii="Arial" w:hAnsi="Arial" w:cs="Arial"/>
          <w:color w:val="000000" w:themeColor="text1"/>
        </w:rPr>
      </w:pPr>
      <w:r w:rsidRPr="00A3449C">
        <w:rPr>
          <w:rFonts w:ascii="Arial" w:hAnsi="Arial" w:cs="Arial"/>
          <w:color w:val="000000" w:themeColor="text1"/>
        </w:rPr>
        <w:t xml:space="preserve">TMO operates a procedure that is designed to resolve disputes within </w:t>
      </w:r>
      <w:r w:rsidR="00A3449C" w:rsidRPr="00A3449C">
        <w:rPr>
          <w:rFonts w:ascii="Arial" w:hAnsi="Arial" w:cs="Arial"/>
          <w:color w:val="000000" w:themeColor="text1"/>
        </w:rPr>
        <w:t>33</w:t>
      </w:r>
      <w:r w:rsidRPr="00A3449C">
        <w:rPr>
          <w:rFonts w:ascii="Arial" w:hAnsi="Arial" w:cs="Arial"/>
          <w:color w:val="000000" w:themeColor="text1"/>
        </w:rPr>
        <w:t xml:space="preserve"> working days</w:t>
      </w:r>
      <w:r w:rsidR="00A3449C" w:rsidRPr="00A3449C">
        <w:rPr>
          <w:rFonts w:ascii="Arial" w:hAnsi="Arial" w:cs="Arial"/>
          <w:color w:val="000000" w:themeColor="text1"/>
        </w:rPr>
        <w:t xml:space="preserve"> </w:t>
      </w:r>
      <w:r w:rsidRPr="00A3449C">
        <w:rPr>
          <w:rFonts w:ascii="Arial" w:hAnsi="Arial" w:cs="Arial"/>
          <w:color w:val="000000" w:themeColor="text1"/>
        </w:rPr>
        <w:t>and additionally operates an early resolution procedure which can be used at an adjudicator’s discretion</w:t>
      </w:r>
      <w:r w:rsidR="00A3449C" w:rsidRPr="00A3449C">
        <w:rPr>
          <w:rFonts w:ascii="Arial" w:hAnsi="Arial" w:cs="Arial"/>
          <w:color w:val="000000" w:themeColor="text1"/>
        </w:rPr>
        <w:t xml:space="preserve"> for any suitable cases.</w:t>
      </w:r>
      <w:r w:rsidR="0018124A">
        <w:rPr>
          <w:rFonts w:ascii="Arial" w:hAnsi="Arial" w:cs="Arial"/>
          <w:color w:val="000000" w:themeColor="text1"/>
        </w:rPr>
        <w:t xml:space="preserve"> </w:t>
      </w:r>
      <w:r w:rsidR="00A3449C" w:rsidRPr="00A3449C">
        <w:rPr>
          <w:rFonts w:ascii="Arial" w:hAnsi="Arial" w:cs="Arial"/>
          <w:color w:val="000000" w:themeColor="text1"/>
        </w:rPr>
        <w:t>More time may be taken to resolve complex cases, for example where a party requires further time to gather evidence.</w:t>
      </w:r>
    </w:p>
    <w:p w:rsidR="00A3449C" w:rsidRDefault="00A3449C" w:rsidP="00535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sample of </w:t>
      </w:r>
      <w:r w:rsidR="00AB01A6">
        <w:rPr>
          <w:rFonts w:ascii="Arial" w:hAnsi="Arial" w:cs="Arial"/>
          <w:color w:val="000000" w:themeColor="text1"/>
        </w:rPr>
        <w:t>109</w:t>
      </w:r>
      <w:r>
        <w:rPr>
          <w:rFonts w:ascii="Arial" w:hAnsi="Arial" w:cs="Arial"/>
          <w:color w:val="000000" w:themeColor="text1"/>
        </w:rPr>
        <w:t xml:space="preserve"> cases </w:t>
      </w:r>
      <w:r w:rsidR="00AB01A6">
        <w:rPr>
          <w:rFonts w:ascii="Arial" w:hAnsi="Arial" w:cs="Arial"/>
          <w:color w:val="000000" w:themeColor="text1"/>
        </w:rPr>
        <w:t xml:space="preserve">taken during </w:t>
      </w:r>
      <w:r>
        <w:rPr>
          <w:rFonts w:ascii="Arial" w:hAnsi="Arial" w:cs="Arial"/>
          <w:color w:val="000000" w:themeColor="text1"/>
        </w:rPr>
        <w:t xml:space="preserve">Q1 2016 showed an average handling time of </w:t>
      </w:r>
      <w:r w:rsidR="00AB01A6">
        <w:rPr>
          <w:rFonts w:ascii="Arial" w:hAnsi="Arial" w:cs="Arial"/>
          <w:color w:val="000000" w:themeColor="text1"/>
        </w:rPr>
        <w:t>37 days.</w:t>
      </w:r>
    </w:p>
    <w:p w:rsidR="00AB01A6" w:rsidRDefault="00AB01A6" w:rsidP="00535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further sample of 33 cases resolved through our early resolution procedure in Q1 2016 took an average of 8 days.</w:t>
      </w:r>
    </w:p>
    <w:p w:rsidR="0018124A" w:rsidRDefault="0018124A" w:rsidP="00A3449C">
      <w:pPr>
        <w:rPr>
          <w:rFonts w:ascii="Arial" w:hAnsi="Arial" w:cs="Arial"/>
          <w:b/>
          <w:color w:val="33CAFF"/>
        </w:rPr>
      </w:pPr>
    </w:p>
    <w:p w:rsidR="00A3449C" w:rsidRDefault="00A3449C" w:rsidP="00A3449C">
      <w:pPr>
        <w:rPr>
          <w:rFonts w:ascii="Arial" w:hAnsi="Arial" w:cs="Arial"/>
          <w:b/>
          <w:color w:val="33CAFF"/>
        </w:rPr>
      </w:pPr>
      <w:r w:rsidRPr="007A5872">
        <w:rPr>
          <w:rFonts w:ascii="Arial" w:hAnsi="Arial" w:cs="Arial"/>
          <w:b/>
          <w:color w:val="33CAFF"/>
        </w:rPr>
        <w:t xml:space="preserve">Section </w:t>
      </w:r>
      <w:r>
        <w:rPr>
          <w:rFonts w:ascii="Arial" w:hAnsi="Arial" w:cs="Arial"/>
          <w:b/>
          <w:color w:val="33CAFF"/>
        </w:rPr>
        <w:t xml:space="preserve">4 </w:t>
      </w:r>
      <w:r w:rsidRPr="007A5872">
        <w:rPr>
          <w:rFonts w:ascii="Arial" w:hAnsi="Arial" w:cs="Arial"/>
          <w:b/>
          <w:color w:val="33CAFF"/>
        </w:rPr>
        <w:t xml:space="preserve">– </w:t>
      </w:r>
      <w:r>
        <w:rPr>
          <w:rFonts w:ascii="Arial" w:hAnsi="Arial" w:cs="Arial"/>
          <w:b/>
          <w:color w:val="33CAFF"/>
        </w:rPr>
        <w:t>Compliance with case outcomes</w:t>
      </w:r>
    </w:p>
    <w:p w:rsidR="00A3449C" w:rsidRPr="00A3449C" w:rsidRDefault="00A3449C" w:rsidP="00A3449C">
      <w:pPr>
        <w:rPr>
          <w:rFonts w:ascii="Arial" w:hAnsi="Arial" w:cs="Arial"/>
          <w:color w:val="000000" w:themeColor="text1"/>
        </w:rPr>
      </w:pPr>
      <w:r w:rsidRPr="00A3449C">
        <w:rPr>
          <w:rFonts w:ascii="Arial" w:hAnsi="Arial" w:cs="Arial"/>
          <w:color w:val="000000" w:themeColor="text1"/>
        </w:rPr>
        <w:t>Our accredited businesses are bound under the terms of the Code to comply with any final decision made should the consumer wish to accept it.</w:t>
      </w:r>
    </w:p>
    <w:p w:rsidR="00A3449C" w:rsidRPr="00A3449C" w:rsidRDefault="00A3449C" w:rsidP="00A3449C">
      <w:pPr>
        <w:rPr>
          <w:rFonts w:ascii="Arial" w:hAnsi="Arial" w:cs="Arial"/>
          <w:color w:val="000000" w:themeColor="text1"/>
        </w:rPr>
      </w:pPr>
      <w:r w:rsidRPr="00A3449C">
        <w:rPr>
          <w:rFonts w:ascii="Arial" w:hAnsi="Arial" w:cs="Arial"/>
          <w:color w:val="000000" w:themeColor="text1"/>
        </w:rPr>
        <w:t>During the period of June 20</w:t>
      </w:r>
      <w:r w:rsidR="004F7155">
        <w:rPr>
          <w:rFonts w:ascii="Arial" w:hAnsi="Arial" w:cs="Arial"/>
          <w:color w:val="000000" w:themeColor="text1"/>
        </w:rPr>
        <w:t>15 to June 2016 there were</w:t>
      </w:r>
      <w:r w:rsidRPr="00A3449C">
        <w:rPr>
          <w:rFonts w:ascii="Arial" w:hAnsi="Arial" w:cs="Arial"/>
          <w:color w:val="000000" w:themeColor="text1"/>
        </w:rPr>
        <w:t xml:space="preserve"> two instances of non-compliance</w:t>
      </w:r>
      <w:r w:rsidR="004F7155">
        <w:rPr>
          <w:rFonts w:ascii="Arial" w:hAnsi="Arial" w:cs="Arial"/>
          <w:color w:val="000000" w:themeColor="text1"/>
        </w:rPr>
        <w:t>, both resulting</w:t>
      </w:r>
      <w:r w:rsidRPr="00A3449C">
        <w:rPr>
          <w:rFonts w:ascii="Arial" w:hAnsi="Arial" w:cs="Arial"/>
          <w:color w:val="000000" w:themeColor="text1"/>
        </w:rPr>
        <w:t xml:space="preserve"> in </w:t>
      </w:r>
      <w:r w:rsidR="004F7155">
        <w:rPr>
          <w:rFonts w:ascii="Arial" w:hAnsi="Arial" w:cs="Arial"/>
          <w:color w:val="000000" w:themeColor="text1"/>
        </w:rPr>
        <w:t>disciplinary action.</w:t>
      </w:r>
    </w:p>
    <w:p w:rsidR="00A3449C" w:rsidRDefault="00F0353A" w:rsidP="00535A92">
      <w:pPr>
        <w:rPr>
          <w:rFonts w:ascii="Arial" w:hAnsi="Arial" w:cs="Arial"/>
          <w:b/>
          <w:color w:val="33CAFF"/>
        </w:rPr>
      </w:pPr>
      <w:r w:rsidRPr="00762F75">
        <w:rPr>
          <w:rFonts w:ascii="Arial" w:hAnsi="Arial" w:cs="Arial"/>
          <w:b/>
          <w:color w:val="33CAFF"/>
        </w:rPr>
        <w:t>Section 5 – Disputes rejected</w:t>
      </w:r>
    </w:p>
    <w:tbl>
      <w:tblPr>
        <w:tblW w:w="5540" w:type="dxa"/>
        <w:tblInd w:w="93" w:type="dxa"/>
        <w:tblLook w:val="04A0" w:firstRow="1" w:lastRow="0" w:firstColumn="1" w:lastColumn="0" w:noHBand="0" w:noVBand="1"/>
      </w:tblPr>
      <w:tblGrid>
        <w:gridCol w:w="3580"/>
        <w:gridCol w:w="1960"/>
      </w:tblGrid>
      <w:tr w:rsidR="00762F75" w:rsidRPr="00762F75" w:rsidTr="00762F75">
        <w:trPr>
          <w:trHeight w:val="300"/>
        </w:trPr>
        <w:tc>
          <w:tcPr>
            <w:tcW w:w="3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Reason for case rejection</w:t>
            </w:r>
          </w:p>
        </w:tc>
        <w:tc>
          <w:tcPr>
            <w:tcW w:w="1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Volume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Have not contacted Trader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136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Already using another ADR provider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Compensation / exceeds claim limit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Conflict of interest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Frivolous claim, already resolved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More than 12 months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 Code remit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470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 consumer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Trader not a code accredited business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361</w:t>
            </w:r>
          </w:p>
        </w:tc>
      </w:tr>
      <w:tr w:rsidR="00762F75" w:rsidRPr="00762F75" w:rsidTr="00762F7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62F75" w:rsidRPr="00762F75" w:rsidRDefault="00762F75" w:rsidP="0076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  <w:r w:rsidR="003C5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Pr="00762F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003</w:t>
            </w:r>
          </w:p>
        </w:tc>
      </w:tr>
    </w:tbl>
    <w:p w:rsidR="00762F75" w:rsidRDefault="00762F75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18124A" w:rsidRDefault="0018124A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541FAD" w:rsidRDefault="00541FAD" w:rsidP="00762F75">
      <w:pPr>
        <w:rPr>
          <w:rFonts w:ascii="Arial" w:hAnsi="Arial" w:cs="Arial"/>
          <w:color w:val="000000" w:themeColor="text1"/>
        </w:rPr>
      </w:pPr>
    </w:p>
    <w:p w:rsidR="00541FAD" w:rsidRPr="00762F75" w:rsidRDefault="00541FAD" w:rsidP="00762F75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>
            <wp:extent cx="1428750" cy="723900"/>
            <wp:effectExtent l="0" t="0" r="0" b="0"/>
            <wp:docPr id="3" name="Picture 3" descr="imag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794944"/>
            <wp:effectExtent l="0" t="0" r="0" b="5715"/>
            <wp:docPr id="4" name="Picture 4" descr="ec-log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-logo-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00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>
            <wp:extent cx="2828925" cy="782300"/>
            <wp:effectExtent l="0" t="0" r="0" b="0"/>
            <wp:docPr id="6" name="Picture 6" descr="C:\Users\mcallh\Desktop\TMO_C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llh\Desktop\TMO_CT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FAD" w:rsidRPr="00762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26" w:rsidRDefault="003B6426" w:rsidP="00535A92">
      <w:pPr>
        <w:spacing w:after="0" w:line="240" w:lineRule="auto"/>
      </w:pPr>
      <w:r>
        <w:separator/>
      </w:r>
    </w:p>
  </w:endnote>
  <w:endnote w:type="continuationSeparator" w:id="0">
    <w:p w:rsidR="003B6426" w:rsidRDefault="003B6426" w:rsidP="005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0" w:rsidRDefault="00637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4" w:rsidRPr="00535A92" w:rsidRDefault="002C4314" w:rsidP="00535A92">
    <w:pPr>
      <w:pStyle w:val="Footer"/>
    </w:pPr>
    <w:r>
      <w:rPr>
        <w:rFonts w:eastAsia="Times New Roman"/>
        <w:noProof/>
        <w:lang w:eastAsia="en-GB"/>
      </w:rPr>
      <w:drawing>
        <wp:inline distT="0" distB="0" distL="0" distR="0" wp14:anchorId="4FB4FC03" wp14:editId="6D34E943">
          <wp:extent cx="5229225" cy="952500"/>
          <wp:effectExtent l="0" t="0" r="9525" b="0"/>
          <wp:docPr id="2" name="Picture 2" descr="https://eu5.salesforce.com/servlet/servlet.ImageServer?id=01524000002CEbG&amp;oid=00D24000000q5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5sp1" descr="https://eu5.salesforce.com/servlet/servlet.ImageServer?id=01524000002CEbG&amp;oid=00D24000000q5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0" w:rsidRDefault="0063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26" w:rsidRDefault="003B6426" w:rsidP="00535A92">
      <w:pPr>
        <w:spacing w:after="0" w:line="240" w:lineRule="auto"/>
      </w:pPr>
      <w:r>
        <w:separator/>
      </w:r>
    </w:p>
  </w:footnote>
  <w:footnote w:type="continuationSeparator" w:id="0">
    <w:p w:rsidR="003B6426" w:rsidRDefault="003B6426" w:rsidP="005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0" w:rsidRDefault="00637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14" w:rsidRPr="00535A92" w:rsidRDefault="002C4314" w:rsidP="00535A92">
    <w:pPr>
      <w:pStyle w:val="Header"/>
    </w:pPr>
    <w:r>
      <w:rPr>
        <w:rFonts w:eastAsia="Times New Roman"/>
        <w:noProof/>
        <w:lang w:eastAsia="en-GB"/>
      </w:rPr>
      <w:drawing>
        <wp:inline distT="0" distB="0" distL="0" distR="0" wp14:anchorId="57047423" wp14:editId="60E84EAF">
          <wp:extent cx="5229225" cy="952500"/>
          <wp:effectExtent l="0" t="0" r="9525" b="0"/>
          <wp:docPr id="1" name="Picture 1" descr="https://eu5.salesforce.com/servlet/servlet.ImageServer?id=01524000002CEb1&amp;oid=00D24000000q5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1sp1" descr="https://eu5.salesforce.com/servlet/servlet.ImageServer?id=01524000002CEb1&amp;oid=00D24000000q5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0" w:rsidRDefault="00637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rPfZK+D2/EKXYRP6QQQidtPN70=" w:salt="ah59TUQUsRGhM6yq+OGq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92"/>
    <w:rsid w:val="000D7ED4"/>
    <w:rsid w:val="001018E3"/>
    <w:rsid w:val="0018124A"/>
    <w:rsid w:val="00276E89"/>
    <w:rsid w:val="002C4314"/>
    <w:rsid w:val="002D20F0"/>
    <w:rsid w:val="003A5445"/>
    <w:rsid w:val="003B6426"/>
    <w:rsid w:val="003C5986"/>
    <w:rsid w:val="003C59A1"/>
    <w:rsid w:val="00456077"/>
    <w:rsid w:val="00461AEF"/>
    <w:rsid w:val="00492615"/>
    <w:rsid w:val="004F7155"/>
    <w:rsid w:val="005276E0"/>
    <w:rsid w:val="00535A92"/>
    <w:rsid w:val="00541FAD"/>
    <w:rsid w:val="00563BC3"/>
    <w:rsid w:val="005F549E"/>
    <w:rsid w:val="00637E00"/>
    <w:rsid w:val="00666420"/>
    <w:rsid w:val="00692827"/>
    <w:rsid w:val="006B0244"/>
    <w:rsid w:val="006F57EA"/>
    <w:rsid w:val="00762F75"/>
    <w:rsid w:val="007A5872"/>
    <w:rsid w:val="00804B58"/>
    <w:rsid w:val="008F1C98"/>
    <w:rsid w:val="009018CC"/>
    <w:rsid w:val="009144ED"/>
    <w:rsid w:val="009E362A"/>
    <w:rsid w:val="009F5E75"/>
    <w:rsid w:val="00A3449C"/>
    <w:rsid w:val="00A76A4C"/>
    <w:rsid w:val="00AB01A6"/>
    <w:rsid w:val="00AF455F"/>
    <w:rsid w:val="00C45DC9"/>
    <w:rsid w:val="00CA3FC3"/>
    <w:rsid w:val="00DC73E5"/>
    <w:rsid w:val="00E7505D"/>
    <w:rsid w:val="00F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92"/>
  </w:style>
  <w:style w:type="paragraph" w:styleId="Footer">
    <w:name w:val="footer"/>
    <w:basedOn w:val="Normal"/>
    <w:link w:val="FooterChar"/>
    <w:uiPriority w:val="99"/>
    <w:unhideWhenUsed/>
    <w:rsid w:val="0053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92"/>
  </w:style>
  <w:style w:type="paragraph" w:styleId="Footer">
    <w:name w:val="footer"/>
    <w:basedOn w:val="Normal"/>
    <w:link w:val="FooterChar"/>
    <w:uiPriority w:val="99"/>
    <w:unhideWhenUsed/>
    <w:rsid w:val="00535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1281</Words>
  <Characters>7303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McAllister</dc:creator>
  <cp:lastModifiedBy>Holly McAllister</cp:lastModifiedBy>
  <cp:revision>14</cp:revision>
  <cp:lastPrinted>2016-11-15T13:21:00Z</cp:lastPrinted>
  <dcterms:created xsi:type="dcterms:W3CDTF">2016-11-14T15:38:00Z</dcterms:created>
  <dcterms:modified xsi:type="dcterms:W3CDTF">2016-11-15T14:21:00Z</dcterms:modified>
</cp:coreProperties>
</file>