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72A7" w14:textId="19BA152F" w:rsidR="00C33483" w:rsidRDefault="00C33483"/>
    <w:p w14:paraId="343E8927" w14:textId="0C2BCF14" w:rsidR="0023289C" w:rsidRPr="00300E7B" w:rsidRDefault="00262376" w:rsidP="00CB5B37">
      <w:pPr>
        <w:spacing w:line="240" w:lineRule="auto"/>
        <w:jc w:val="center"/>
        <w:rPr>
          <w:rFonts w:cs="Arial"/>
          <w:b/>
          <w:bCs/>
          <w:color w:val="00B0F0"/>
          <w:sz w:val="28"/>
          <w:szCs w:val="28"/>
        </w:rPr>
      </w:pPr>
      <w:r w:rsidRPr="00300E7B">
        <w:rPr>
          <w:rFonts w:cs="Arial"/>
          <w:b/>
          <w:bCs/>
          <w:color w:val="00B0F0"/>
          <w:sz w:val="28"/>
          <w:szCs w:val="28"/>
        </w:rPr>
        <w:t>Schedule 5</w:t>
      </w:r>
      <w:r w:rsidR="0023289C" w:rsidRPr="00300E7B">
        <w:rPr>
          <w:rFonts w:cs="Arial"/>
          <w:b/>
          <w:bCs/>
          <w:color w:val="00B0F0"/>
          <w:sz w:val="28"/>
          <w:szCs w:val="28"/>
        </w:rPr>
        <w:t>: The Motor Ombudsman</w:t>
      </w:r>
    </w:p>
    <w:p w14:paraId="29AE6ACD" w14:textId="234408DA" w:rsidR="00856275" w:rsidRPr="00300E7B" w:rsidRDefault="007C071C" w:rsidP="00856275">
      <w:pPr>
        <w:spacing w:line="240" w:lineRule="auto"/>
        <w:jc w:val="center"/>
        <w:rPr>
          <w:rFonts w:cs="Arial"/>
          <w:b/>
          <w:bCs/>
          <w:color w:val="00B0F0"/>
          <w:sz w:val="28"/>
          <w:szCs w:val="28"/>
        </w:rPr>
      </w:pPr>
      <w:r w:rsidRPr="00300E7B">
        <w:rPr>
          <w:rFonts w:cs="Arial"/>
          <w:b/>
          <w:bCs/>
          <w:color w:val="00B0F0"/>
          <w:sz w:val="28"/>
          <w:szCs w:val="28"/>
        </w:rPr>
        <w:t>Reporting period</w:t>
      </w:r>
      <w:r w:rsidR="0023289C" w:rsidRPr="00300E7B">
        <w:rPr>
          <w:rFonts w:cs="Arial"/>
          <w:b/>
          <w:bCs/>
          <w:color w:val="00B0F0"/>
          <w:sz w:val="28"/>
          <w:szCs w:val="28"/>
        </w:rPr>
        <w:t xml:space="preserve"> - 1 October 2020 to 1 October 2021</w:t>
      </w:r>
    </w:p>
    <w:p w14:paraId="7929B084" w14:textId="016D969A" w:rsidR="004302EB" w:rsidRDefault="00262376" w:rsidP="004302EB">
      <w:pPr>
        <w:pStyle w:val="ListParagraph"/>
        <w:numPr>
          <w:ilvl w:val="0"/>
          <w:numId w:val="1"/>
        </w:numPr>
        <w:spacing w:line="240" w:lineRule="auto"/>
        <w:rPr>
          <w:rFonts w:cs="Arial"/>
          <w:b/>
          <w:bCs/>
          <w:color w:val="00B0F0"/>
        </w:rPr>
      </w:pPr>
      <w:r w:rsidRPr="00300E7B">
        <w:rPr>
          <w:rFonts w:cs="Arial"/>
          <w:b/>
          <w:bCs/>
          <w:color w:val="00B0F0"/>
        </w:rPr>
        <w:t>the number of domestic disputes the ADR entity has received</w:t>
      </w:r>
      <w:r w:rsidR="00381209" w:rsidRPr="00300E7B">
        <w:rPr>
          <w:rFonts w:cs="Arial"/>
          <w:b/>
          <w:bCs/>
          <w:color w:val="00B0F0"/>
        </w:rPr>
        <w:t>:</w:t>
      </w:r>
    </w:p>
    <w:p w14:paraId="64374D23" w14:textId="26F8D138" w:rsidR="00017C9E" w:rsidRDefault="00017C9E" w:rsidP="00017C9E">
      <w:pPr>
        <w:spacing w:line="240" w:lineRule="auto"/>
        <w:rPr>
          <w:rFonts w:cs="Arial"/>
        </w:rPr>
      </w:pPr>
      <w:r w:rsidRPr="00017C9E">
        <w:rPr>
          <w:rFonts w:cs="Arial"/>
        </w:rPr>
        <w:t xml:space="preserve">Across the Reporting Period, TMO has handled 103,001 contacts through its online form, email, post and telephone. </w:t>
      </w:r>
      <w:r>
        <w:rPr>
          <w:rFonts w:cs="Arial"/>
        </w:rPr>
        <w:t xml:space="preserve">The below shows </w:t>
      </w:r>
      <w:r w:rsidR="00F170F3" w:rsidRPr="00831051">
        <w:rPr>
          <w:rFonts w:cs="Arial"/>
          <w:u w:val="single"/>
        </w:rPr>
        <w:t>unique</w:t>
      </w:r>
      <w:r w:rsidR="00F170F3">
        <w:rPr>
          <w:rFonts w:cs="Arial"/>
        </w:rPr>
        <w:t xml:space="preserve"> contacts</w:t>
      </w:r>
      <w:r>
        <w:rPr>
          <w:rFonts w:cs="Arial"/>
        </w:rPr>
        <w:t xml:space="preserve"> as enquiries; the number of disputes received </w:t>
      </w:r>
      <w:r w:rsidR="00307936">
        <w:rPr>
          <w:rFonts w:cs="Arial"/>
        </w:rPr>
        <w:t xml:space="preserve">(15,458) </w:t>
      </w:r>
      <w:r>
        <w:rPr>
          <w:rFonts w:cs="Arial"/>
        </w:rPr>
        <w:t>and marked as being a potential dispute we could consider; the number of disputes accepted by our service</w:t>
      </w:r>
      <w:r w:rsidR="00F170F3">
        <w:rPr>
          <w:rFonts w:cs="Arial"/>
        </w:rPr>
        <w:t>.</w:t>
      </w:r>
    </w:p>
    <w:p w14:paraId="4DEE7E28" w14:textId="5C8667F5" w:rsidR="00017C9E" w:rsidRPr="00017C9E" w:rsidRDefault="00017C9E" w:rsidP="00017C9E">
      <w:pPr>
        <w:spacing w:line="240" w:lineRule="auto"/>
        <w:rPr>
          <w:rFonts w:cs="Arial"/>
        </w:rPr>
      </w:pPr>
      <w:r>
        <w:rPr>
          <w:rFonts w:cs="Arial"/>
        </w:rPr>
        <w:t xml:space="preserve">It is worth noting that 2021 has been a significant period of change and improvement for TMO. As such, our reporting capabilities have been considerably enhanced – however, this does mean we are recording some data differently, and therefore it is not always directly comparable to previous years.  </w:t>
      </w:r>
    </w:p>
    <w:tbl>
      <w:tblPr>
        <w:tblStyle w:val="TableGrid"/>
        <w:tblW w:w="0" w:type="auto"/>
        <w:tblLook w:val="04A0" w:firstRow="1" w:lastRow="0" w:firstColumn="1" w:lastColumn="0" w:noHBand="0" w:noVBand="1"/>
      </w:tblPr>
      <w:tblGrid>
        <w:gridCol w:w="1283"/>
        <w:gridCol w:w="1746"/>
        <w:gridCol w:w="1244"/>
        <w:gridCol w:w="1676"/>
        <w:gridCol w:w="1244"/>
        <w:gridCol w:w="1734"/>
      </w:tblGrid>
      <w:tr w:rsidR="00DB0E68" w:rsidRPr="00300E7B" w14:paraId="58E61A1D" w14:textId="77777777" w:rsidTr="00DB0E68">
        <w:tc>
          <w:tcPr>
            <w:tcW w:w="1283" w:type="dxa"/>
          </w:tcPr>
          <w:p w14:paraId="7CF94F23" w14:textId="77777777" w:rsidR="00DB0E68" w:rsidRPr="00300E7B" w:rsidRDefault="00DB0E68" w:rsidP="00DB0E68">
            <w:pPr>
              <w:jc w:val="center"/>
              <w:rPr>
                <w:rFonts w:cs="Arial"/>
              </w:rPr>
            </w:pPr>
            <w:r w:rsidRPr="00300E7B">
              <w:rPr>
                <w:rFonts w:cs="Arial"/>
              </w:rPr>
              <w:t>No. enquiries received</w:t>
            </w:r>
          </w:p>
          <w:p w14:paraId="031642AA" w14:textId="4A0BD0C7" w:rsidR="00DB0E68" w:rsidRPr="00300E7B" w:rsidRDefault="00DB0E68" w:rsidP="00DB0E68">
            <w:pPr>
              <w:jc w:val="center"/>
              <w:rPr>
                <w:rFonts w:cs="Arial"/>
              </w:rPr>
            </w:pPr>
            <w:r w:rsidRPr="00300E7B">
              <w:rPr>
                <w:rFonts w:cs="Arial"/>
              </w:rPr>
              <w:t>(domestic)</w:t>
            </w:r>
          </w:p>
        </w:tc>
        <w:tc>
          <w:tcPr>
            <w:tcW w:w="1746" w:type="dxa"/>
          </w:tcPr>
          <w:p w14:paraId="363CE80E" w14:textId="77777777" w:rsidR="00DB0E68" w:rsidRPr="00300E7B" w:rsidRDefault="00DB0E68" w:rsidP="00DB0E68">
            <w:pPr>
              <w:jc w:val="center"/>
              <w:rPr>
                <w:rFonts w:cs="Arial"/>
              </w:rPr>
            </w:pPr>
            <w:r w:rsidRPr="00300E7B">
              <w:rPr>
                <w:rFonts w:cs="Arial"/>
              </w:rPr>
              <w:t>No. enquiries received</w:t>
            </w:r>
          </w:p>
          <w:p w14:paraId="080820CB" w14:textId="21DD924D" w:rsidR="00DB0E68" w:rsidRPr="00300E7B" w:rsidRDefault="00DB0E68" w:rsidP="00DB0E68">
            <w:pPr>
              <w:jc w:val="center"/>
              <w:rPr>
                <w:rFonts w:cs="Arial"/>
              </w:rPr>
            </w:pPr>
            <w:r w:rsidRPr="00300E7B">
              <w:rPr>
                <w:rFonts w:cs="Arial"/>
              </w:rPr>
              <w:t>(cross-border)</w:t>
            </w:r>
          </w:p>
        </w:tc>
        <w:tc>
          <w:tcPr>
            <w:tcW w:w="1244" w:type="dxa"/>
          </w:tcPr>
          <w:p w14:paraId="3D2430B4" w14:textId="46ED1AC9" w:rsidR="00DB0E68" w:rsidRPr="00300E7B" w:rsidRDefault="00DB0E68" w:rsidP="00DB0E68">
            <w:pPr>
              <w:jc w:val="center"/>
              <w:rPr>
                <w:rFonts w:cs="Arial"/>
              </w:rPr>
            </w:pPr>
            <w:r w:rsidRPr="00300E7B">
              <w:rPr>
                <w:rFonts w:cs="Arial"/>
              </w:rPr>
              <w:t>No. disputes received</w:t>
            </w:r>
          </w:p>
          <w:p w14:paraId="3ADEC598" w14:textId="306D4302" w:rsidR="00DB0E68" w:rsidRPr="00300E7B" w:rsidRDefault="00DB0E68" w:rsidP="00DB0E68">
            <w:pPr>
              <w:rPr>
                <w:rFonts w:cs="Arial"/>
              </w:rPr>
            </w:pPr>
            <w:r w:rsidRPr="00300E7B">
              <w:rPr>
                <w:rFonts w:cs="Arial"/>
              </w:rPr>
              <w:t>(domestic)</w:t>
            </w:r>
          </w:p>
        </w:tc>
        <w:tc>
          <w:tcPr>
            <w:tcW w:w="1676" w:type="dxa"/>
          </w:tcPr>
          <w:p w14:paraId="112958A7" w14:textId="2ECB449D" w:rsidR="00DB0E68" w:rsidRPr="00300E7B" w:rsidRDefault="00DB0E68" w:rsidP="00DB0E68">
            <w:pPr>
              <w:jc w:val="center"/>
              <w:rPr>
                <w:rFonts w:cs="Arial"/>
              </w:rPr>
            </w:pPr>
            <w:r w:rsidRPr="00300E7B">
              <w:rPr>
                <w:rFonts w:cs="Arial"/>
              </w:rPr>
              <w:t>No. disputes received</w:t>
            </w:r>
          </w:p>
          <w:p w14:paraId="0F4F2B62" w14:textId="0817AF2D" w:rsidR="00DB0E68" w:rsidRPr="00300E7B" w:rsidRDefault="00DB0E68" w:rsidP="00DB0E68">
            <w:pPr>
              <w:jc w:val="center"/>
              <w:rPr>
                <w:rFonts w:cs="Arial"/>
              </w:rPr>
            </w:pPr>
            <w:r w:rsidRPr="00300E7B">
              <w:rPr>
                <w:rFonts w:cs="Arial"/>
              </w:rPr>
              <w:t>(cross-border)</w:t>
            </w:r>
          </w:p>
        </w:tc>
        <w:tc>
          <w:tcPr>
            <w:tcW w:w="1243" w:type="dxa"/>
          </w:tcPr>
          <w:p w14:paraId="63C046C1" w14:textId="1F79930D" w:rsidR="00DB0E68" w:rsidRPr="00300E7B" w:rsidRDefault="00DB0E68" w:rsidP="00DB0E68">
            <w:pPr>
              <w:jc w:val="center"/>
              <w:rPr>
                <w:rFonts w:cs="Arial"/>
              </w:rPr>
            </w:pPr>
            <w:r w:rsidRPr="00300E7B">
              <w:rPr>
                <w:rFonts w:cs="Arial"/>
              </w:rPr>
              <w:t>No. disputes accepted</w:t>
            </w:r>
            <w:r w:rsidR="00747A9D" w:rsidRPr="00300E7B">
              <w:rPr>
                <w:rFonts w:cs="Arial"/>
              </w:rPr>
              <w:t xml:space="preserve"> (continued to case)</w:t>
            </w:r>
          </w:p>
          <w:p w14:paraId="6B400A9E" w14:textId="6267476F" w:rsidR="00DB0E68" w:rsidRPr="00300E7B" w:rsidRDefault="00DB0E68" w:rsidP="00DB0E68">
            <w:pPr>
              <w:rPr>
                <w:rFonts w:cs="Arial"/>
              </w:rPr>
            </w:pPr>
            <w:r w:rsidRPr="00300E7B">
              <w:rPr>
                <w:rFonts w:cs="Arial"/>
              </w:rPr>
              <w:t>(domestic)</w:t>
            </w:r>
          </w:p>
        </w:tc>
        <w:tc>
          <w:tcPr>
            <w:tcW w:w="1734" w:type="dxa"/>
          </w:tcPr>
          <w:p w14:paraId="3A903F23" w14:textId="160B0F4D" w:rsidR="00DB0E68" w:rsidRPr="00300E7B" w:rsidRDefault="00DB0E68" w:rsidP="00DB0E68">
            <w:pPr>
              <w:jc w:val="center"/>
              <w:rPr>
                <w:rFonts w:cs="Arial"/>
              </w:rPr>
            </w:pPr>
            <w:r w:rsidRPr="00300E7B">
              <w:rPr>
                <w:rFonts w:cs="Arial"/>
              </w:rPr>
              <w:t>No. disputes accepted</w:t>
            </w:r>
          </w:p>
          <w:p w14:paraId="4156AB94" w14:textId="29F8771A" w:rsidR="00747A9D" w:rsidRPr="00300E7B" w:rsidRDefault="00747A9D" w:rsidP="00DB0E68">
            <w:pPr>
              <w:jc w:val="center"/>
              <w:rPr>
                <w:rFonts w:cs="Arial"/>
              </w:rPr>
            </w:pPr>
            <w:r w:rsidRPr="00300E7B">
              <w:rPr>
                <w:rFonts w:cs="Arial"/>
              </w:rPr>
              <w:t>(continued to case)</w:t>
            </w:r>
          </w:p>
          <w:p w14:paraId="12E43C33" w14:textId="4AD2E227" w:rsidR="00DB0E68" w:rsidRPr="00300E7B" w:rsidRDefault="00DB0E68" w:rsidP="00DB0E68">
            <w:pPr>
              <w:jc w:val="center"/>
              <w:rPr>
                <w:rFonts w:cs="Arial"/>
              </w:rPr>
            </w:pPr>
            <w:r w:rsidRPr="00300E7B">
              <w:rPr>
                <w:rFonts w:cs="Arial"/>
              </w:rPr>
              <w:t>(cross-border)</w:t>
            </w:r>
          </w:p>
        </w:tc>
      </w:tr>
      <w:tr w:rsidR="00DB0E68" w:rsidRPr="00300E7B" w14:paraId="75279785" w14:textId="77777777" w:rsidTr="00DB0E68">
        <w:trPr>
          <w:trHeight w:val="562"/>
        </w:trPr>
        <w:tc>
          <w:tcPr>
            <w:tcW w:w="1283" w:type="dxa"/>
          </w:tcPr>
          <w:p w14:paraId="108BF518" w14:textId="329461AB" w:rsidR="00DB0E68" w:rsidRPr="00300E7B" w:rsidRDefault="00260A8B" w:rsidP="00DB0E68">
            <w:pPr>
              <w:jc w:val="center"/>
              <w:rPr>
                <w:rFonts w:cs="Arial"/>
              </w:rPr>
            </w:pPr>
            <w:r>
              <w:rPr>
                <w:rFonts w:cs="Arial"/>
              </w:rPr>
              <w:t>58,</w:t>
            </w:r>
            <w:r w:rsidR="00831051">
              <w:rPr>
                <w:rFonts w:cs="Arial"/>
              </w:rPr>
              <w:t>495</w:t>
            </w:r>
          </w:p>
        </w:tc>
        <w:tc>
          <w:tcPr>
            <w:tcW w:w="1746" w:type="dxa"/>
          </w:tcPr>
          <w:p w14:paraId="64465CDA" w14:textId="0D3138E1" w:rsidR="00DB0E68" w:rsidRPr="00300E7B" w:rsidRDefault="00831051" w:rsidP="00DB0E68">
            <w:pPr>
              <w:jc w:val="center"/>
              <w:rPr>
                <w:rFonts w:cs="Arial"/>
              </w:rPr>
            </w:pPr>
            <w:r>
              <w:rPr>
                <w:rFonts w:cs="Arial"/>
              </w:rPr>
              <w:t>36</w:t>
            </w:r>
          </w:p>
        </w:tc>
        <w:tc>
          <w:tcPr>
            <w:tcW w:w="1244" w:type="dxa"/>
          </w:tcPr>
          <w:p w14:paraId="7A650DCE" w14:textId="12551356" w:rsidR="00DB0E68" w:rsidRPr="00300E7B" w:rsidRDefault="00F170F3" w:rsidP="00DB0E68">
            <w:pPr>
              <w:jc w:val="center"/>
              <w:rPr>
                <w:rFonts w:cs="Arial"/>
              </w:rPr>
            </w:pPr>
            <w:r>
              <w:rPr>
                <w:rFonts w:cs="Arial"/>
              </w:rPr>
              <w:t>15,4</w:t>
            </w:r>
            <w:r w:rsidR="00831051">
              <w:rPr>
                <w:rFonts w:cs="Arial"/>
              </w:rPr>
              <w:t>58</w:t>
            </w:r>
          </w:p>
        </w:tc>
        <w:tc>
          <w:tcPr>
            <w:tcW w:w="1676" w:type="dxa"/>
          </w:tcPr>
          <w:p w14:paraId="11CF8649" w14:textId="378CCD5A" w:rsidR="00DB0E68" w:rsidRPr="00300E7B" w:rsidRDefault="00831051" w:rsidP="00DB0E68">
            <w:pPr>
              <w:jc w:val="center"/>
              <w:rPr>
                <w:rFonts w:cs="Arial"/>
              </w:rPr>
            </w:pPr>
            <w:r>
              <w:rPr>
                <w:rFonts w:cs="Arial"/>
              </w:rPr>
              <w:t>36</w:t>
            </w:r>
          </w:p>
        </w:tc>
        <w:tc>
          <w:tcPr>
            <w:tcW w:w="1243" w:type="dxa"/>
          </w:tcPr>
          <w:p w14:paraId="615F481A" w14:textId="117E6DEE" w:rsidR="00DB0E68" w:rsidRPr="00300E7B" w:rsidRDefault="00260A8B" w:rsidP="00DB0E68">
            <w:pPr>
              <w:jc w:val="center"/>
              <w:rPr>
                <w:rFonts w:cs="Arial"/>
              </w:rPr>
            </w:pPr>
            <w:r>
              <w:rPr>
                <w:rFonts w:cs="Arial"/>
              </w:rPr>
              <w:t>5</w:t>
            </w:r>
            <w:r w:rsidR="00996C93">
              <w:rPr>
                <w:rFonts w:cs="Arial"/>
              </w:rPr>
              <w:t>,</w:t>
            </w:r>
            <w:r>
              <w:rPr>
                <w:rFonts w:cs="Arial"/>
              </w:rPr>
              <w:t>707</w:t>
            </w:r>
          </w:p>
        </w:tc>
        <w:tc>
          <w:tcPr>
            <w:tcW w:w="1734" w:type="dxa"/>
          </w:tcPr>
          <w:p w14:paraId="1F5E0662" w14:textId="3C3AC7F4" w:rsidR="00DB0E68" w:rsidRPr="00300E7B" w:rsidRDefault="00C30144" w:rsidP="00DB0E68">
            <w:pPr>
              <w:jc w:val="center"/>
              <w:rPr>
                <w:rFonts w:cs="Arial"/>
              </w:rPr>
            </w:pPr>
            <w:r w:rsidRPr="00300E7B">
              <w:rPr>
                <w:rFonts w:cs="Arial"/>
              </w:rPr>
              <w:t>0</w:t>
            </w:r>
          </w:p>
        </w:tc>
      </w:tr>
    </w:tbl>
    <w:p w14:paraId="68FA81F8" w14:textId="21126F03" w:rsidR="007D51E6" w:rsidRDefault="007D51E6" w:rsidP="00262376">
      <w:pPr>
        <w:spacing w:line="240" w:lineRule="auto"/>
        <w:rPr>
          <w:rFonts w:cs="Arial"/>
        </w:rPr>
      </w:pPr>
    </w:p>
    <w:p w14:paraId="19B3C5A2" w14:textId="63B0DF78" w:rsidR="00262376" w:rsidRPr="00300E7B" w:rsidRDefault="00262376" w:rsidP="001576C9">
      <w:pPr>
        <w:pStyle w:val="ListParagraph"/>
        <w:numPr>
          <w:ilvl w:val="0"/>
          <w:numId w:val="1"/>
        </w:numPr>
        <w:spacing w:line="240" w:lineRule="auto"/>
        <w:rPr>
          <w:rFonts w:cs="Arial"/>
          <w:b/>
          <w:bCs/>
          <w:color w:val="00B0F0"/>
        </w:rPr>
      </w:pPr>
      <w:r w:rsidRPr="00300E7B">
        <w:rPr>
          <w:rFonts w:cs="Arial"/>
          <w:b/>
          <w:bCs/>
          <w:color w:val="00B0F0"/>
        </w:rPr>
        <w:t>the types of complaints to which the domestic disputes and cross-border disputes relate</w:t>
      </w:r>
      <w:r w:rsidR="00381209" w:rsidRPr="00300E7B">
        <w:rPr>
          <w:rFonts w:cs="Arial"/>
          <w:b/>
          <w:bCs/>
          <w:color w:val="00B0F0"/>
        </w:rPr>
        <w:t>:</w:t>
      </w:r>
    </w:p>
    <w:p w14:paraId="13318227" w14:textId="1B44FA44" w:rsidR="001828F7" w:rsidRPr="00300E7B" w:rsidRDefault="001828F7" w:rsidP="00262376">
      <w:pPr>
        <w:spacing w:line="240" w:lineRule="auto"/>
      </w:pPr>
      <w:r w:rsidRPr="00300E7B">
        <w:t>TMO operates four Codes of Practice:</w:t>
      </w:r>
    </w:p>
    <w:p w14:paraId="0C0A4947" w14:textId="77777777" w:rsidR="001828F7" w:rsidRPr="00300E7B" w:rsidRDefault="001828F7" w:rsidP="001828F7">
      <w:pPr>
        <w:pStyle w:val="ListParagraph"/>
        <w:numPr>
          <w:ilvl w:val="0"/>
          <w:numId w:val="7"/>
        </w:numPr>
        <w:spacing w:line="240" w:lineRule="auto"/>
        <w:rPr>
          <w:rFonts w:cs="Arial"/>
        </w:rPr>
      </w:pPr>
      <w:r w:rsidRPr="00300E7B">
        <w:t>the Code of Practice for New Cars, covering manufacturers’ warranties;</w:t>
      </w:r>
    </w:p>
    <w:p w14:paraId="0281AFA0" w14:textId="77777777" w:rsidR="001828F7" w:rsidRPr="00300E7B" w:rsidRDefault="001828F7" w:rsidP="001828F7">
      <w:pPr>
        <w:pStyle w:val="ListParagraph"/>
        <w:numPr>
          <w:ilvl w:val="0"/>
          <w:numId w:val="7"/>
        </w:numPr>
        <w:spacing w:line="240" w:lineRule="auto"/>
        <w:rPr>
          <w:rFonts w:cs="Arial"/>
        </w:rPr>
      </w:pPr>
      <w:r w:rsidRPr="00300E7B">
        <w:t>the Code of Practice for Vehicle Warranty Products, covering extended warranties and other types of protection policies;</w:t>
      </w:r>
    </w:p>
    <w:p w14:paraId="46E70BD0" w14:textId="77777777" w:rsidR="001828F7" w:rsidRPr="00300E7B" w:rsidRDefault="001828F7" w:rsidP="001828F7">
      <w:pPr>
        <w:pStyle w:val="ListParagraph"/>
        <w:numPr>
          <w:ilvl w:val="0"/>
          <w:numId w:val="7"/>
        </w:numPr>
        <w:spacing w:line="240" w:lineRule="auto"/>
        <w:rPr>
          <w:rFonts w:cs="Arial"/>
        </w:rPr>
      </w:pPr>
      <w:r w:rsidRPr="00300E7B">
        <w:t>the Code of Practice for Service and Repair, covering issues ranging from workmanship to the booking process;</w:t>
      </w:r>
    </w:p>
    <w:p w14:paraId="171C9252" w14:textId="28BD00A8" w:rsidR="001828F7" w:rsidRPr="00300E7B" w:rsidRDefault="001828F7" w:rsidP="001828F7">
      <w:pPr>
        <w:pStyle w:val="ListParagraph"/>
        <w:numPr>
          <w:ilvl w:val="0"/>
          <w:numId w:val="7"/>
        </w:numPr>
        <w:spacing w:line="240" w:lineRule="auto"/>
        <w:rPr>
          <w:rFonts w:cs="Arial"/>
        </w:rPr>
      </w:pPr>
      <w:r w:rsidRPr="00300E7B">
        <w:t>the Code of Practice for Vehicle Sales, covering everything from the sales process to the quality of the vehicle, be it new or used.</w:t>
      </w:r>
    </w:p>
    <w:p w14:paraId="75CEFB8E" w14:textId="7CBA63DB" w:rsidR="00833866" w:rsidRDefault="001828F7" w:rsidP="001828F7">
      <w:pPr>
        <w:spacing w:line="240" w:lineRule="auto"/>
        <w:rPr>
          <w:rFonts w:cs="Arial"/>
        </w:rPr>
      </w:pPr>
      <w:r w:rsidRPr="00300E7B">
        <w:rPr>
          <w:rFonts w:cs="Arial"/>
        </w:rPr>
        <w:t xml:space="preserve">The below shows how many disputes were logged for each </w:t>
      </w:r>
      <w:r w:rsidR="001D55C3">
        <w:rPr>
          <w:rFonts w:cs="Arial"/>
        </w:rPr>
        <w:t>c</w:t>
      </w:r>
      <w:r w:rsidRPr="00300E7B">
        <w:rPr>
          <w:rFonts w:cs="Arial"/>
        </w:rPr>
        <w:t>ode</w:t>
      </w:r>
      <w:r w:rsidR="001D55C3">
        <w:rPr>
          <w:rFonts w:cs="Arial"/>
        </w:rPr>
        <w:t xml:space="preserve"> and the number of disputes accepted for each code.</w:t>
      </w:r>
    </w:p>
    <w:p w14:paraId="3E78B005" w14:textId="77777777" w:rsidR="00833866" w:rsidRDefault="00833866">
      <w:pPr>
        <w:rPr>
          <w:rFonts w:cs="Arial"/>
        </w:rPr>
      </w:pPr>
      <w:r>
        <w:rPr>
          <w:rFonts w:cs="Arial"/>
        </w:rPr>
        <w:br w:type="page"/>
      </w:r>
    </w:p>
    <w:p w14:paraId="4D58791A" w14:textId="77777777" w:rsidR="001828F7" w:rsidRPr="00300E7B" w:rsidRDefault="001828F7" w:rsidP="001828F7">
      <w:pPr>
        <w:spacing w:line="240" w:lineRule="auto"/>
        <w:rPr>
          <w:rFonts w:cs="Arial"/>
        </w:rPr>
      </w:pPr>
    </w:p>
    <w:tbl>
      <w:tblPr>
        <w:tblStyle w:val="TableGrid"/>
        <w:tblW w:w="9493" w:type="dxa"/>
        <w:tblLook w:val="04A0" w:firstRow="1" w:lastRow="0" w:firstColumn="1" w:lastColumn="0" w:noHBand="0" w:noVBand="1"/>
      </w:tblPr>
      <w:tblGrid>
        <w:gridCol w:w="3330"/>
        <w:gridCol w:w="1825"/>
        <w:gridCol w:w="1681"/>
        <w:gridCol w:w="1244"/>
        <w:gridCol w:w="1413"/>
      </w:tblGrid>
      <w:tr w:rsidR="001D55C3" w:rsidRPr="00300E7B" w14:paraId="5BB443F5" w14:textId="77777777" w:rsidTr="001D55C3">
        <w:trPr>
          <w:trHeight w:val="1170"/>
        </w:trPr>
        <w:tc>
          <w:tcPr>
            <w:tcW w:w="3397" w:type="dxa"/>
          </w:tcPr>
          <w:p w14:paraId="42AE5BF1" w14:textId="79E05F87" w:rsidR="001D55C3" w:rsidRPr="00300E7B" w:rsidRDefault="001D55C3" w:rsidP="001D55C3">
            <w:pPr>
              <w:jc w:val="center"/>
              <w:rPr>
                <w:rFonts w:cs="Arial"/>
                <w:b/>
                <w:bCs/>
              </w:rPr>
            </w:pPr>
            <w:r w:rsidRPr="00300E7B">
              <w:rPr>
                <w:rFonts w:cs="Arial"/>
                <w:b/>
                <w:bCs/>
              </w:rPr>
              <w:t>Code</w:t>
            </w:r>
          </w:p>
        </w:tc>
        <w:tc>
          <w:tcPr>
            <w:tcW w:w="1843" w:type="dxa"/>
          </w:tcPr>
          <w:p w14:paraId="37B58808" w14:textId="77777777" w:rsidR="001D55C3" w:rsidRPr="00300E7B" w:rsidRDefault="001D55C3" w:rsidP="001D55C3">
            <w:pPr>
              <w:jc w:val="center"/>
              <w:rPr>
                <w:rFonts w:cs="Arial"/>
              </w:rPr>
            </w:pPr>
            <w:r w:rsidRPr="00300E7B">
              <w:rPr>
                <w:rFonts w:cs="Arial"/>
              </w:rPr>
              <w:t>No. disputes received</w:t>
            </w:r>
          </w:p>
          <w:p w14:paraId="360A0617" w14:textId="4A307CB0" w:rsidR="001D55C3" w:rsidRPr="00300E7B" w:rsidRDefault="001D55C3" w:rsidP="001D55C3">
            <w:pPr>
              <w:jc w:val="center"/>
              <w:rPr>
                <w:rFonts w:cs="Arial"/>
                <w:b/>
                <w:bCs/>
              </w:rPr>
            </w:pPr>
            <w:r w:rsidRPr="00300E7B">
              <w:rPr>
                <w:rFonts w:cs="Arial"/>
              </w:rPr>
              <w:t>(domestic)</w:t>
            </w:r>
          </w:p>
        </w:tc>
        <w:tc>
          <w:tcPr>
            <w:tcW w:w="1701" w:type="dxa"/>
          </w:tcPr>
          <w:p w14:paraId="751E01E9" w14:textId="77777777" w:rsidR="001D55C3" w:rsidRPr="00300E7B" w:rsidRDefault="001D55C3" w:rsidP="001D55C3">
            <w:pPr>
              <w:jc w:val="center"/>
              <w:rPr>
                <w:rFonts w:cs="Arial"/>
              </w:rPr>
            </w:pPr>
            <w:r w:rsidRPr="00300E7B">
              <w:rPr>
                <w:rFonts w:cs="Arial"/>
              </w:rPr>
              <w:t>No. disputes received</w:t>
            </w:r>
          </w:p>
          <w:p w14:paraId="39987C85" w14:textId="1B3C2F46" w:rsidR="001D55C3" w:rsidRPr="001D55C3" w:rsidRDefault="001D55C3" w:rsidP="001D55C3">
            <w:pPr>
              <w:jc w:val="center"/>
              <w:rPr>
                <w:rFonts w:cs="Arial"/>
              </w:rPr>
            </w:pPr>
            <w:r w:rsidRPr="00300E7B">
              <w:rPr>
                <w:rFonts w:cs="Arial"/>
              </w:rPr>
              <w:t>(cross-border)</w:t>
            </w:r>
          </w:p>
        </w:tc>
        <w:tc>
          <w:tcPr>
            <w:tcW w:w="1134" w:type="dxa"/>
          </w:tcPr>
          <w:p w14:paraId="49700473" w14:textId="77777777" w:rsidR="001D55C3" w:rsidRPr="00300E7B" w:rsidRDefault="001D55C3" w:rsidP="001D55C3">
            <w:pPr>
              <w:jc w:val="center"/>
              <w:rPr>
                <w:rFonts w:cs="Arial"/>
              </w:rPr>
            </w:pPr>
            <w:r w:rsidRPr="00300E7B">
              <w:rPr>
                <w:rFonts w:cs="Arial"/>
              </w:rPr>
              <w:t>No. disputes accepted (continued to case)</w:t>
            </w:r>
          </w:p>
          <w:p w14:paraId="29EDBDD4" w14:textId="69677C0D" w:rsidR="001D55C3" w:rsidRPr="001D55C3" w:rsidRDefault="001D55C3" w:rsidP="001D55C3">
            <w:pPr>
              <w:jc w:val="center"/>
              <w:rPr>
                <w:rFonts w:cs="Arial"/>
              </w:rPr>
            </w:pPr>
            <w:r w:rsidRPr="00300E7B">
              <w:rPr>
                <w:rFonts w:cs="Arial"/>
              </w:rPr>
              <w:t>(domestic)</w:t>
            </w:r>
          </w:p>
        </w:tc>
        <w:tc>
          <w:tcPr>
            <w:tcW w:w="1418" w:type="dxa"/>
          </w:tcPr>
          <w:p w14:paraId="53D261B8" w14:textId="77777777" w:rsidR="001D55C3" w:rsidRPr="00300E7B" w:rsidRDefault="001D55C3" w:rsidP="001D55C3">
            <w:pPr>
              <w:jc w:val="center"/>
              <w:rPr>
                <w:rFonts w:cs="Arial"/>
              </w:rPr>
            </w:pPr>
            <w:r w:rsidRPr="00300E7B">
              <w:rPr>
                <w:rFonts w:cs="Arial"/>
              </w:rPr>
              <w:t>No. disputes accepted</w:t>
            </w:r>
          </w:p>
          <w:p w14:paraId="48FBA6FC" w14:textId="77777777" w:rsidR="001D55C3" w:rsidRPr="00300E7B" w:rsidRDefault="001D55C3" w:rsidP="001D55C3">
            <w:pPr>
              <w:jc w:val="center"/>
              <w:rPr>
                <w:rFonts w:cs="Arial"/>
              </w:rPr>
            </w:pPr>
            <w:r w:rsidRPr="00300E7B">
              <w:rPr>
                <w:rFonts w:cs="Arial"/>
              </w:rPr>
              <w:t>(continued to case)</w:t>
            </w:r>
          </w:p>
          <w:p w14:paraId="20983ABF" w14:textId="7941F4E6" w:rsidR="001D55C3" w:rsidRPr="001D55C3" w:rsidRDefault="001D55C3" w:rsidP="001D55C3">
            <w:pPr>
              <w:jc w:val="center"/>
              <w:rPr>
                <w:rFonts w:cs="Arial"/>
              </w:rPr>
            </w:pPr>
            <w:r w:rsidRPr="00300E7B">
              <w:rPr>
                <w:rFonts w:cs="Arial"/>
              </w:rPr>
              <w:t>(cross-border)</w:t>
            </w:r>
          </w:p>
        </w:tc>
      </w:tr>
      <w:tr w:rsidR="00636A0D" w:rsidRPr="00300E7B" w14:paraId="3D8BAB6A" w14:textId="77777777" w:rsidTr="001D55C3">
        <w:tc>
          <w:tcPr>
            <w:tcW w:w="3397" w:type="dxa"/>
          </w:tcPr>
          <w:p w14:paraId="2D9FE765" w14:textId="68FC5320" w:rsidR="00636A0D" w:rsidRPr="00300E7B" w:rsidRDefault="00636A0D" w:rsidP="00262376">
            <w:pPr>
              <w:rPr>
                <w:rFonts w:cs="Arial"/>
                <w:b/>
                <w:bCs/>
              </w:rPr>
            </w:pPr>
            <w:r w:rsidRPr="00300E7B">
              <w:rPr>
                <w:rFonts w:cs="Arial"/>
                <w:b/>
                <w:bCs/>
              </w:rPr>
              <w:t>New Car Code</w:t>
            </w:r>
          </w:p>
        </w:tc>
        <w:tc>
          <w:tcPr>
            <w:tcW w:w="1843" w:type="dxa"/>
          </w:tcPr>
          <w:p w14:paraId="6A7CDBEA" w14:textId="2621891C" w:rsidR="00636A0D" w:rsidRPr="00300E7B" w:rsidRDefault="00636A0D" w:rsidP="00262376">
            <w:pPr>
              <w:rPr>
                <w:rFonts w:cs="Arial"/>
              </w:rPr>
            </w:pPr>
            <w:r w:rsidRPr="00300E7B">
              <w:rPr>
                <w:rFonts w:cs="Arial"/>
              </w:rPr>
              <w:t>17</w:t>
            </w:r>
            <w:r w:rsidR="005D6ACF">
              <w:rPr>
                <w:rFonts w:cs="Arial"/>
              </w:rPr>
              <w:t>53</w:t>
            </w:r>
          </w:p>
        </w:tc>
        <w:tc>
          <w:tcPr>
            <w:tcW w:w="1701" w:type="dxa"/>
          </w:tcPr>
          <w:p w14:paraId="530D921F" w14:textId="5438F27E" w:rsidR="00636A0D" w:rsidRPr="00300E7B" w:rsidRDefault="00636A0D" w:rsidP="00262376">
            <w:pPr>
              <w:rPr>
                <w:rFonts w:cs="Arial"/>
              </w:rPr>
            </w:pPr>
            <w:r w:rsidRPr="00300E7B">
              <w:rPr>
                <w:rFonts w:cs="Arial"/>
              </w:rPr>
              <w:t>3</w:t>
            </w:r>
          </w:p>
        </w:tc>
        <w:tc>
          <w:tcPr>
            <w:tcW w:w="1134" w:type="dxa"/>
          </w:tcPr>
          <w:p w14:paraId="4AABA19A" w14:textId="0BEC8653" w:rsidR="00636A0D" w:rsidRPr="00300E7B" w:rsidRDefault="00300E7B" w:rsidP="00262376">
            <w:pPr>
              <w:rPr>
                <w:rFonts w:cs="Arial"/>
              </w:rPr>
            </w:pPr>
            <w:r>
              <w:rPr>
                <w:rFonts w:cs="Arial"/>
              </w:rPr>
              <w:t>11</w:t>
            </w:r>
            <w:r w:rsidR="001D55C3">
              <w:rPr>
                <w:rFonts w:cs="Arial"/>
              </w:rPr>
              <w:t>62</w:t>
            </w:r>
          </w:p>
        </w:tc>
        <w:tc>
          <w:tcPr>
            <w:tcW w:w="1418" w:type="dxa"/>
          </w:tcPr>
          <w:p w14:paraId="356371D4" w14:textId="3C6A5F3F" w:rsidR="00636A0D" w:rsidRPr="00300E7B" w:rsidRDefault="00636A0D" w:rsidP="00262376">
            <w:pPr>
              <w:rPr>
                <w:rFonts w:cs="Arial"/>
              </w:rPr>
            </w:pPr>
            <w:r w:rsidRPr="00300E7B">
              <w:rPr>
                <w:rFonts w:cs="Arial"/>
              </w:rPr>
              <w:t>0</w:t>
            </w:r>
          </w:p>
        </w:tc>
      </w:tr>
      <w:tr w:rsidR="00636A0D" w:rsidRPr="00300E7B" w14:paraId="4E6F5AE7" w14:textId="77777777" w:rsidTr="001D55C3">
        <w:tc>
          <w:tcPr>
            <w:tcW w:w="3397" w:type="dxa"/>
          </w:tcPr>
          <w:p w14:paraId="323BCC96" w14:textId="7227CB57" w:rsidR="00636A0D" w:rsidRPr="00300E7B" w:rsidRDefault="00636A0D" w:rsidP="00262376">
            <w:pPr>
              <w:rPr>
                <w:rFonts w:cs="Arial"/>
                <w:b/>
                <w:bCs/>
              </w:rPr>
            </w:pPr>
            <w:r w:rsidRPr="00300E7B">
              <w:rPr>
                <w:rFonts w:cs="Arial"/>
                <w:b/>
                <w:bCs/>
              </w:rPr>
              <w:t>Vehicle Warranty Products Code</w:t>
            </w:r>
          </w:p>
        </w:tc>
        <w:tc>
          <w:tcPr>
            <w:tcW w:w="1843" w:type="dxa"/>
          </w:tcPr>
          <w:p w14:paraId="3B24707B" w14:textId="452CCE1C" w:rsidR="00636A0D" w:rsidRPr="00300E7B" w:rsidRDefault="005D6ACF" w:rsidP="00262376">
            <w:pPr>
              <w:rPr>
                <w:rFonts w:cs="Arial"/>
              </w:rPr>
            </w:pPr>
            <w:r>
              <w:rPr>
                <w:rFonts w:cs="Arial"/>
              </w:rPr>
              <w:t>438</w:t>
            </w:r>
          </w:p>
        </w:tc>
        <w:tc>
          <w:tcPr>
            <w:tcW w:w="1701" w:type="dxa"/>
          </w:tcPr>
          <w:p w14:paraId="7FFBFE4A" w14:textId="7D8F5530" w:rsidR="00636A0D" w:rsidRPr="00300E7B" w:rsidRDefault="00636A0D" w:rsidP="00262376">
            <w:pPr>
              <w:rPr>
                <w:rFonts w:cs="Arial"/>
              </w:rPr>
            </w:pPr>
            <w:r w:rsidRPr="00300E7B">
              <w:rPr>
                <w:rFonts w:cs="Arial"/>
              </w:rPr>
              <w:t>0</w:t>
            </w:r>
          </w:p>
        </w:tc>
        <w:tc>
          <w:tcPr>
            <w:tcW w:w="1134" w:type="dxa"/>
          </w:tcPr>
          <w:p w14:paraId="01575466" w14:textId="4C6986BB" w:rsidR="00636A0D" w:rsidRPr="00300E7B" w:rsidRDefault="001D55C3" w:rsidP="00262376">
            <w:pPr>
              <w:rPr>
                <w:rFonts w:cs="Arial"/>
              </w:rPr>
            </w:pPr>
            <w:r>
              <w:rPr>
                <w:rFonts w:cs="Arial"/>
              </w:rPr>
              <w:t>337</w:t>
            </w:r>
          </w:p>
        </w:tc>
        <w:tc>
          <w:tcPr>
            <w:tcW w:w="1418" w:type="dxa"/>
          </w:tcPr>
          <w:p w14:paraId="0E4D75BE" w14:textId="57D4C8B4" w:rsidR="00636A0D" w:rsidRPr="00300E7B" w:rsidRDefault="00636A0D" w:rsidP="00262376">
            <w:pPr>
              <w:rPr>
                <w:rFonts w:cs="Arial"/>
              </w:rPr>
            </w:pPr>
            <w:r w:rsidRPr="00300E7B">
              <w:rPr>
                <w:rFonts w:cs="Arial"/>
              </w:rPr>
              <w:t>0</w:t>
            </w:r>
          </w:p>
        </w:tc>
      </w:tr>
      <w:tr w:rsidR="00636A0D" w:rsidRPr="00300E7B" w14:paraId="3C8502CD" w14:textId="77777777" w:rsidTr="001D55C3">
        <w:tc>
          <w:tcPr>
            <w:tcW w:w="3397" w:type="dxa"/>
          </w:tcPr>
          <w:p w14:paraId="20FF1D3F" w14:textId="301E3D8C" w:rsidR="00636A0D" w:rsidRPr="00300E7B" w:rsidRDefault="00636A0D" w:rsidP="00262376">
            <w:pPr>
              <w:rPr>
                <w:rFonts w:cs="Arial"/>
                <w:b/>
                <w:bCs/>
              </w:rPr>
            </w:pPr>
            <w:r w:rsidRPr="00300E7B">
              <w:rPr>
                <w:rFonts w:cs="Arial"/>
                <w:b/>
                <w:bCs/>
              </w:rPr>
              <w:t>Service and Repair Code</w:t>
            </w:r>
          </w:p>
        </w:tc>
        <w:tc>
          <w:tcPr>
            <w:tcW w:w="1843" w:type="dxa"/>
          </w:tcPr>
          <w:p w14:paraId="7611BEBE" w14:textId="2AEE9498" w:rsidR="00636A0D" w:rsidRPr="00300E7B" w:rsidRDefault="00636A0D" w:rsidP="00262376">
            <w:pPr>
              <w:rPr>
                <w:rFonts w:cs="Arial"/>
              </w:rPr>
            </w:pPr>
            <w:r w:rsidRPr="00300E7B">
              <w:rPr>
                <w:rFonts w:cs="Arial"/>
              </w:rPr>
              <w:t>40</w:t>
            </w:r>
            <w:r w:rsidR="005D6ACF">
              <w:rPr>
                <w:rFonts w:cs="Arial"/>
              </w:rPr>
              <w:t>17</w:t>
            </w:r>
          </w:p>
        </w:tc>
        <w:tc>
          <w:tcPr>
            <w:tcW w:w="1701" w:type="dxa"/>
          </w:tcPr>
          <w:p w14:paraId="21CF7C75" w14:textId="42AD611C" w:rsidR="00636A0D" w:rsidRPr="00300E7B" w:rsidRDefault="00636A0D" w:rsidP="00262376">
            <w:pPr>
              <w:rPr>
                <w:rFonts w:cs="Arial"/>
              </w:rPr>
            </w:pPr>
            <w:r w:rsidRPr="00300E7B">
              <w:rPr>
                <w:rFonts w:cs="Arial"/>
              </w:rPr>
              <w:t>11</w:t>
            </w:r>
          </w:p>
        </w:tc>
        <w:tc>
          <w:tcPr>
            <w:tcW w:w="1134" w:type="dxa"/>
          </w:tcPr>
          <w:p w14:paraId="2FE64AAE" w14:textId="41E19FC4" w:rsidR="00636A0D" w:rsidRPr="00300E7B" w:rsidRDefault="001D55C3" w:rsidP="00262376">
            <w:pPr>
              <w:rPr>
                <w:rFonts w:cs="Arial"/>
              </w:rPr>
            </w:pPr>
            <w:r>
              <w:rPr>
                <w:rFonts w:cs="Arial"/>
              </w:rPr>
              <w:t>1546</w:t>
            </w:r>
          </w:p>
        </w:tc>
        <w:tc>
          <w:tcPr>
            <w:tcW w:w="1418" w:type="dxa"/>
          </w:tcPr>
          <w:p w14:paraId="30CBB533" w14:textId="192492E9" w:rsidR="00636A0D" w:rsidRPr="00300E7B" w:rsidRDefault="00636A0D" w:rsidP="00262376">
            <w:pPr>
              <w:rPr>
                <w:rFonts w:cs="Arial"/>
              </w:rPr>
            </w:pPr>
            <w:r w:rsidRPr="00300E7B">
              <w:rPr>
                <w:rFonts w:cs="Arial"/>
              </w:rPr>
              <w:t>0</w:t>
            </w:r>
          </w:p>
        </w:tc>
      </w:tr>
      <w:tr w:rsidR="00636A0D" w14:paraId="45AA9602" w14:textId="77777777" w:rsidTr="001D55C3">
        <w:tc>
          <w:tcPr>
            <w:tcW w:w="3397" w:type="dxa"/>
          </w:tcPr>
          <w:p w14:paraId="55C958E6" w14:textId="15728248" w:rsidR="00636A0D" w:rsidRPr="00300E7B" w:rsidRDefault="00636A0D" w:rsidP="00262376">
            <w:pPr>
              <w:rPr>
                <w:rFonts w:cs="Arial"/>
                <w:b/>
                <w:bCs/>
              </w:rPr>
            </w:pPr>
            <w:r w:rsidRPr="00300E7B">
              <w:rPr>
                <w:rFonts w:cs="Arial"/>
                <w:b/>
                <w:bCs/>
              </w:rPr>
              <w:t>Sales Code</w:t>
            </w:r>
          </w:p>
        </w:tc>
        <w:tc>
          <w:tcPr>
            <w:tcW w:w="1843" w:type="dxa"/>
          </w:tcPr>
          <w:p w14:paraId="28645502" w14:textId="6D8D1F97" w:rsidR="00636A0D" w:rsidRPr="00300E7B" w:rsidRDefault="006B44FB" w:rsidP="00262376">
            <w:pPr>
              <w:rPr>
                <w:rFonts w:cs="Arial"/>
              </w:rPr>
            </w:pPr>
            <w:r w:rsidRPr="00300E7B">
              <w:rPr>
                <w:rFonts w:cs="Arial"/>
              </w:rPr>
              <w:t>6</w:t>
            </w:r>
            <w:r w:rsidR="005D6ACF">
              <w:rPr>
                <w:rFonts w:cs="Arial"/>
              </w:rPr>
              <w:t>149</w:t>
            </w:r>
          </w:p>
        </w:tc>
        <w:tc>
          <w:tcPr>
            <w:tcW w:w="1701" w:type="dxa"/>
          </w:tcPr>
          <w:p w14:paraId="2C1E0552" w14:textId="6D072BB1" w:rsidR="00636A0D" w:rsidRPr="00300E7B" w:rsidRDefault="005D6ACF" w:rsidP="00262376">
            <w:pPr>
              <w:rPr>
                <w:rFonts w:cs="Arial"/>
              </w:rPr>
            </w:pPr>
            <w:r>
              <w:rPr>
                <w:rFonts w:cs="Arial"/>
              </w:rPr>
              <w:t>9</w:t>
            </w:r>
          </w:p>
        </w:tc>
        <w:tc>
          <w:tcPr>
            <w:tcW w:w="1134" w:type="dxa"/>
          </w:tcPr>
          <w:p w14:paraId="16BEDB3B" w14:textId="66766B40" w:rsidR="00636A0D" w:rsidRPr="00300E7B" w:rsidRDefault="001D55C3" w:rsidP="00262376">
            <w:pPr>
              <w:rPr>
                <w:rFonts w:cs="Arial"/>
              </w:rPr>
            </w:pPr>
            <w:r>
              <w:rPr>
                <w:rFonts w:cs="Arial"/>
              </w:rPr>
              <w:t>2662</w:t>
            </w:r>
          </w:p>
        </w:tc>
        <w:tc>
          <w:tcPr>
            <w:tcW w:w="1418" w:type="dxa"/>
          </w:tcPr>
          <w:p w14:paraId="32ED2201" w14:textId="2B24AF3D" w:rsidR="00636A0D" w:rsidRDefault="00636A0D" w:rsidP="00262376">
            <w:pPr>
              <w:rPr>
                <w:rFonts w:cs="Arial"/>
              </w:rPr>
            </w:pPr>
            <w:r w:rsidRPr="00300E7B">
              <w:rPr>
                <w:rFonts w:cs="Arial"/>
              </w:rPr>
              <w:t>0</w:t>
            </w:r>
          </w:p>
        </w:tc>
      </w:tr>
      <w:tr w:rsidR="005D6ACF" w14:paraId="1D56746E" w14:textId="77777777" w:rsidTr="001D55C3">
        <w:tc>
          <w:tcPr>
            <w:tcW w:w="3397" w:type="dxa"/>
          </w:tcPr>
          <w:p w14:paraId="51351523" w14:textId="289EE032" w:rsidR="005D6ACF" w:rsidRPr="00300E7B" w:rsidRDefault="005D6ACF" w:rsidP="00262376">
            <w:pPr>
              <w:rPr>
                <w:rFonts w:cs="Arial"/>
                <w:b/>
                <w:bCs/>
              </w:rPr>
            </w:pPr>
            <w:r>
              <w:rPr>
                <w:rFonts w:cs="Arial"/>
                <w:b/>
                <w:bCs/>
              </w:rPr>
              <w:t>Non-Code</w:t>
            </w:r>
          </w:p>
        </w:tc>
        <w:tc>
          <w:tcPr>
            <w:tcW w:w="1843" w:type="dxa"/>
          </w:tcPr>
          <w:p w14:paraId="7C78C278" w14:textId="05AB8E0E" w:rsidR="005D6ACF" w:rsidRPr="00300E7B" w:rsidRDefault="005D6ACF" w:rsidP="00262376">
            <w:pPr>
              <w:rPr>
                <w:rFonts w:cs="Arial"/>
              </w:rPr>
            </w:pPr>
            <w:r>
              <w:rPr>
                <w:rFonts w:cs="Arial"/>
              </w:rPr>
              <w:t>3101</w:t>
            </w:r>
          </w:p>
        </w:tc>
        <w:tc>
          <w:tcPr>
            <w:tcW w:w="1701" w:type="dxa"/>
          </w:tcPr>
          <w:p w14:paraId="3FC95EDE" w14:textId="3147297C" w:rsidR="005D6ACF" w:rsidRPr="00300E7B" w:rsidRDefault="005D6ACF" w:rsidP="00262376">
            <w:pPr>
              <w:rPr>
                <w:rFonts w:cs="Arial"/>
              </w:rPr>
            </w:pPr>
            <w:r>
              <w:rPr>
                <w:rFonts w:cs="Arial"/>
              </w:rPr>
              <w:t>13</w:t>
            </w:r>
          </w:p>
        </w:tc>
        <w:tc>
          <w:tcPr>
            <w:tcW w:w="1134" w:type="dxa"/>
          </w:tcPr>
          <w:p w14:paraId="2B494C6E" w14:textId="67FD68AA" w:rsidR="005D6ACF" w:rsidRDefault="001D55C3" w:rsidP="00262376">
            <w:pPr>
              <w:rPr>
                <w:rFonts w:cs="Arial"/>
              </w:rPr>
            </w:pPr>
            <w:r>
              <w:rPr>
                <w:rFonts w:cs="Arial"/>
              </w:rPr>
              <w:t>0</w:t>
            </w:r>
          </w:p>
        </w:tc>
        <w:tc>
          <w:tcPr>
            <w:tcW w:w="1418" w:type="dxa"/>
          </w:tcPr>
          <w:p w14:paraId="3605F360" w14:textId="7FA5299B" w:rsidR="005D6ACF" w:rsidRPr="00300E7B" w:rsidRDefault="001D55C3" w:rsidP="00262376">
            <w:pPr>
              <w:rPr>
                <w:rFonts w:cs="Arial"/>
              </w:rPr>
            </w:pPr>
            <w:r>
              <w:rPr>
                <w:rFonts w:cs="Arial"/>
              </w:rPr>
              <w:t>0</w:t>
            </w:r>
          </w:p>
        </w:tc>
      </w:tr>
    </w:tbl>
    <w:p w14:paraId="0915D4D8" w14:textId="77777777" w:rsidR="001828F7" w:rsidRDefault="001828F7" w:rsidP="00262376">
      <w:pPr>
        <w:spacing w:line="240" w:lineRule="auto"/>
        <w:rPr>
          <w:rFonts w:cs="Arial"/>
        </w:rPr>
      </w:pPr>
    </w:p>
    <w:p w14:paraId="6B7F80A2" w14:textId="2CC19F84" w:rsidR="00262376" w:rsidRPr="00A928E8" w:rsidRDefault="00262376" w:rsidP="001576C9">
      <w:pPr>
        <w:pStyle w:val="ListParagraph"/>
        <w:numPr>
          <w:ilvl w:val="0"/>
          <w:numId w:val="1"/>
        </w:numPr>
        <w:spacing w:line="240" w:lineRule="auto"/>
        <w:rPr>
          <w:rFonts w:cs="Arial"/>
          <w:b/>
          <w:bCs/>
          <w:color w:val="00B0F0"/>
        </w:rPr>
      </w:pPr>
      <w:r w:rsidRPr="00A928E8">
        <w:rPr>
          <w:rFonts w:cs="Arial"/>
          <w:b/>
          <w:bCs/>
          <w:color w:val="00B0F0"/>
        </w:rPr>
        <w:t>a description of any systematic or significant problems that occur frequently and lead to disputes between consumers and traders of which the ADR entity has become aware due to its operations as an ADR entity</w:t>
      </w:r>
      <w:r w:rsidR="001828F7" w:rsidRPr="00A928E8">
        <w:rPr>
          <w:rFonts w:cs="Arial"/>
          <w:b/>
          <w:bCs/>
          <w:color w:val="00B0F0"/>
        </w:rPr>
        <w:t>:</w:t>
      </w:r>
    </w:p>
    <w:p w14:paraId="76126D36" w14:textId="5ED08FDF" w:rsidR="00193297" w:rsidRDefault="00193297" w:rsidP="00262376">
      <w:pPr>
        <w:spacing w:line="240" w:lineRule="auto"/>
        <w:rPr>
          <w:rFonts w:cs="Arial"/>
        </w:rPr>
      </w:pPr>
      <w:r>
        <w:rPr>
          <w:rFonts w:cs="Arial"/>
        </w:rPr>
        <w:t>Used cars remain a high source of consumer frustration and detriment, which is why TMO supports ADR being mandatory in this area – and other areas of the motor industry. This is where we tend to see the highest volume of enquiries about non-accredited businesses and, therefore, a significant proportion of consumers who are unable to access ADR. Where we are able to investigate, we find that used car sales can be difficult to navigate for both consumers and businesses. Specifically, we see:</w:t>
      </w:r>
    </w:p>
    <w:p w14:paraId="022C3CF3" w14:textId="0F7E8873" w:rsidR="00193297" w:rsidRDefault="00193297" w:rsidP="00193297">
      <w:pPr>
        <w:pStyle w:val="ListParagraph"/>
        <w:numPr>
          <w:ilvl w:val="0"/>
          <w:numId w:val="5"/>
        </w:numPr>
        <w:spacing w:line="240" w:lineRule="auto"/>
        <w:rPr>
          <w:rFonts w:cs="Arial"/>
        </w:rPr>
      </w:pPr>
      <w:r>
        <w:rPr>
          <w:rFonts w:cs="Arial"/>
        </w:rPr>
        <w:t>Businesses do not always understand the information they must be disclosing to consumers at the point of sale, or provide inaccurate information. Consumers’ purchasing decisions are heavily influenced by factors such as the previous use of the vehicle, its mileage, servicing history and whether it has previously been in an accident. Where this information is not provided, or information is incorrect, it can lead to consumers losing out both in terms of the price paid and the opportunity to purchase a more suitable vehicle elsewhere. Detriment can also be difficult to assess</w:t>
      </w:r>
      <w:r w:rsidR="008A7DE8">
        <w:rPr>
          <w:rFonts w:cs="Arial"/>
        </w:rPr>
        <w:t xml:space="preserve"> or negligible, </w:t>
      </w:r>
    </w:p>
    <w:p w14:paraId="04455D40" w14:textId="77777777" w:rsidR="008A7DE8" w:rsidRDefault="008A7DE8" w:rsidP="008A7DE8">
      <w:pPr>
        <w:pStyle w:val="ListParagraph"/>
        <w:spacing w:line="240" w:lineRule="auto"/>
        <w:rPr>
          <w:rFonts w:cs="Arial"/>
        </w:rPr>
      </w:pPr>
    </w:p>
    <w:p w14:paraId="78ADD7A7" w14:textId="6554099A" w:rsidR="008A7DE8" w:rsidRPr="00636A0D" w:rsidRDefault="00193297" w:rsidP="00636A0D">
      <w:pPr>
        <w:pStyle w:val="ListParagraph"/>
        <w:numPr>
          <w:ilvl w:val="0"/>
          <w:numId w:val="5"/>
        </w:numPr>
        <w:spacing w:line="240" w:lineRule="auto"/>
        <w:rPr>
          <w:rFonts w:cs="Arial"/>
        </w:rPr>
      </w:pPr>
      <w:r>
        <w:rPr>
          <w:rFonts w:cs="Arial"/>
        </w:rPr>
        <w:t xml:space="preserve">Consumer expectations are not always in line with the condition of the vehicle. Used vehicles naturally wear out quicker than new, or will experience more unexpected defects, which means that even if a fault arises, it may not engage a consumer’s rights. However, particularly where this occurs soon after purchase or leads to a higher than anticipated bill, consumers can feel entitled to some kind of remedy – even if the issue is age- or mileage-related. </w:t>
      </w:r>
    </w:p>
    <w:p w14:paraId="18470C41" w14:textId="77777777" w:rsidR="008A7DE8" w:rsidRPr="008A7DE8" w:rsidRDefault="008A7DE8" w:rsidP="008A7DE8">
      <w:pPr>
        <w:pStyle w:val="ListParagraph"/>
        <w:spacing w:line="240" w:lineRule="auto"/>
        <w:rPr>
          <w:rFonts w:cs="Arial"/>
        </w:rPr>
      </w:pPr>
    </w:p>
    <w:p w14:paraId="3E9ACA47" w14:textId="7544DBE4" w:rsidR="001576C9" w:rsidRDefault="00193297" w:rsidP="00262376">
      <w:pPr>
        <w:pStyle w:val="ListParagraph"/>
        <w:numPr>
          <w:ilvl w:val="0"/>
          <w:numId w:val="5"/>
        </w:numPr>
        <w:spacing w:line="240" w:lineRule="auto"/>
        <w:rPr>
          <w:rFonts w:cs="Arial"/>
        </w:rPr>
      </w:pPr>
      <w:r>
        <w:rPr>
          <w:rFonts w:cs="Arial"/>
        </w:rPr>
        <w:t xml:space="preserve">Equally, businesses selling used vehicles may be more hesitant to support repair costs as they do not believe they are liable for problems that arise. </w:t>
      </w:r>
      <w:r w:rsidR="00D8518D">
        <w:rPr>
          <w:rFonts w:cs="Arial"/>
        </w:rPr>
        <w:t>They may also rely on a warranty to cover the costs of repair, but the terms of a warranty may be limited, and this can lead to confusion over a consumer’s rights under the Consumer Rights Act 2015 and other legislation, and their rights under the warranty. There may be instances in which a fault on a used car gives rise to an entitlement under consumer law, and it is important for businesses to be able to distinguish when this is the case.</w:t>
      </w:r>
      <w:r w:rsidR="00DF1E01">
        <w:rPr>
          <w:rFonts w:cs="Arial"/>
        </w:rPr>
        <w:t xml:space="preserve"> Business says price has been lowered to reflect its condition</w:t>
      </w:r>
    </w:p>
    <w:p w14:paraId="6DB4C245" w14:textId="77777777" w:rsidR="00DF1E01" w:rsidRDefault="00DF1E01" w:rsidP="00DF1E01">
      <w:pPr>
        <w:pStyle w:val="ListParagraph"/>
        <w:spacing w:line="240" w:lineRule="auto"/>
        <w:rPr>
          <w:rFonts w:cs="Arial"/>
        </w:rPr>
      </w:pPr>
    </w:p>
    <w:p w14:paraId="2FA82245" w14:textId="13A33718" w:rsidR="00DF1E01" w:rsidRDefault="00636A0D" w:rsidP="00262376">
      <w:pPr>
        <w:pStyle w:val="ListParagraph"/>
        <w:numPr>
          <w:ilvl w:val="0"/>
          <w:numId w:val="5"/>
        </w:numPr>
        <w:spacing w:line="240" w:lineRule="auto"/>
        <w:rPr>
          <w:rFonts w:cs="Arial"/>
        </w:rPr>
      </w:pPr>
      <w:r>
        <w:rPr>
          <w:rFonts w:cs="Arial"/>
        </w:rPr>
        <w:t xml:space="preserve">There can also be issues with understanding approved used schemes, as the requirements may differ and, on occasion, a vehicle is sold under the approved used scheme but actually does not meet its terms – for example, it does not have a full service history. Consumers have a reasonably higher expectation of vehicles sold under approved used schemes and, therefore, can be extremely disappointed when the vehicle falls below the desired standard. Businesses need to be careful in ensuring they only market vehicles under a scheme if they meet the eligibility requirements and in managing consumer expectations of quality and durability. </w:t>
      </w:r>
    </w:p>
    <w:p w14:paraId="21082905" w14:textId="6B31F08C" w:rsidR="0023289C" w:rsidRPr="007B149C" w:rsidRDefault="00AC21E0" w:rsidP="007B149C">
      <w:pPr>
        <w:spacing w:line="240" w:lineRule="auto"/>
        <w:rPr>
          <w:rFonts w:cs="Arial"/>
        </w:rPr>
      </w:pPr>
      <w:r>
        <w:rPr>
          <w:rFonts w:cs="Arial"/>
        </w:rPr>
        <w:t>Used cars are not the only area of detriment. For example, we are currently seeing a rise in the number of enquiries about vehicle recovery services – both those offered as standalone products, such as breakdown cover, and those provided to consumers directly by their garage or dealership. At the moment, our scope to consider this type of complaint is limited: however, we are always on the lookout for complaint trends – particularly where the issue is not something presently covered by us – to understand where consumers are struggling to access ADR as well as issues we can address to promote industry-wide change.</w:t>
      </w:r>
    </w:p>
    <w:p w14:paraId="064761CB" w14:textId="6A97AA8C" w:rsidR="00262376" w:rsidRPr="00A928E8" w:rsidRDefault="00262376" w:rsidP="001576C9">
      <w:pPr>
        <w:pStyle w:val="ListParagraph"/>
        <w:numPr>
          <w:ilvl w:val="0"/>
          <w:numId w:val="1"/>
        </w:numPr>
        <w:spacing w:line="240" w:lineRule="auto"/>
        <w:rPr>
          <w:rFonts w:cs="Arial"/>
          <w:b/>
          <w:bCs/>
          <w:color w:val="00B0F0"/>
        </w:rPr>
      </w:pPr>
      <w:r w:rsidRPr="00A928E8">
        <w:rPr>
          <w:rFonts w:cs="Arial"/>
          <w:b/>
          <w:bCs/>
          <w:color w:val="00B0F0"/>
        </w:rPr>
        <w:t>any recommendations the ADR entity may have as to how the problems referred to in paragraph (c) could be avoided or resolved in future, in order to raise traders’ standards and to facilitate the exchange of information and best practices</w:t>
      </w:r>
      <w:r w:rsidR="00CB5B37" w:rsidRPr="00A928E8">
        <w:rPr>
          <w:rFonts w:cs="Arial"/>
          <w:b/>
          <w:bCs/>
          <w:color w:val="00B0F0"/>
        </w:rPr>
        <w:t>:</w:t>
      </w:r>
    </w:p>
    <w:p w14:paraId="1F48D513" w14:textId="75E6157B" w:rsidR="0059748D" w:rsidRPr="00A928E8" w:rsidRDefault="002C5BC5" w:rsidP="002C5BC5">
      <w:pPr>
        <w:spacing w:line="240" w:lineRule="auto"/>
        <w:rPr>
          <w:rFonts w:cs="Arial"/>
        </w:rPr>
      </w:pPr>
      <w:r w:rsidRPr="00A928E8">
        <w:rPr>
          <w:rFonts w:cs="Arial"/>
        </w:rPr>
        <w:t>TMO strongly supports the proposal to make ADR mandatory in the motor industry, preferably with a sole provider for each sector. This is because we understand that the used car sector, despite the pandemic and its impact on the industry and volume of sales, remains one of the highest sources of consumer detriment – and, whilst we are able to resolve individual complaints and use learnings to create improvement for our accredited businesses, the majority of used car traders are not accredited – leaving their customers without protection, and their only recourse being the courts. It also means they are not committed to the higher levels of service enshrined in our Codes of Practice, which we believe set the gold standard in a</w:t>
      </w:r>
      <w:r w:rsidR="007B149C" w:rsidRPr="00A928E8">
        <w:rPr>
          <w:rFonts w:cs="Arial"/>
        </w:rPr>
        <w:t>n</w:t>
      </w:r>
      <w:r w:rsidRPr="00A928E8">
        <w:rPr>
          <w:rFonts w:cs="Arial"/>
        </w:rPr>
        <w:t xml:space="preserve"> unregulated industry</w:t>
      </w:r>
      <w:r w:rsidR="007B149C" w:rsidRPr="00A928E8">
        <w:rPr>
          <w:rFonts w:cs="Arial"/>
        </w:rPr>
        <w:t xml:space="preserve"> for consumers</w:t>
      </w:r>
      <w:r w:rsidRPr="00A928E8">
        <w:rPr>
          <w:rFonts w:cs="Arial"/>
        </w:rPr>
        <w:t>.</w:t>
      </w:r>
      <w:r w:rsidR="007B149C" w:rsidRPr="00A928E8">
        <w:rPr>
          <w:rFonts w:cs="Arial"/>
        </w:rPr>
        <w:t xml:space="preserve"> Finally, it means there is a wealth of data and insight that we are unable to collect and interrogate in order to identify areas of improvement or actions that could be taken. This is why we advocate for a sole provider in each sector, as even if ADR were to be mandatory, a proliferation of ADR providers means information is not concentrated in one space or recorded in a uniform manner, making it much more difficult to use the data meaningfully. </w:t>
      </w:r>
      <w:r w:rsidRPr="00A928E8">
        <w:rPr>
          <w:rFonts w:cs="Arial"/>
        </w:rPr>
        <w:t xml:space="preserve"> </w:t>
      </w:r>
    </w:p>
    <w:p w14:paraId="16D2FBCF" w14:textId="2BC4140F" w:rsidR="007B149C" w:rsidRPr="00A928E8" w:rsidRDefault="007B149C" w:rsidP="002C5BC5">
      <w:pPr>
        <w:spacing w:line="240" w:lineRule="auto"/>
        <w:rPr>
          <w:rFonts w:cs="Arial"/>
        </w:rPr>
      </w:pPr>
      <w:r w:rsidRPr="00A928E8">
        <w:rPr>
          <w:rFonts w:cs="Arial"/>
        </w:rPr>
        <w:t xml:space="preserve">With our accredited businesses, we try to engage with them closely to create good working relationships – allowing us to provide feedback </w:t>
      </w:r>
      <w:r w:rsidR="00943A12" w:rsidRPr="00A928E8">
        <w:rPr>
          <w:rFonts w:cs="Arial"/>
        </w:rPr>
        <w:t>to not only resolve the p</w:t>
      </w:r>
      <w:r w:rsidRPr="00A928E8">
        <w:rPr>
          <w:rFonts w:cs="Arial"/>
        </w:rPr>
        <w:t>roblem</w:t>
      </w:r>
      <w:r w:rsidR="00943A12" w:rsidRPr="00A928E8">
        <w:rPr>
          <w:rFonts w:cs="Arial"/>
        </w:rPr>
        <w:t>s</w:t>
      </w:r>
      <w:r w:rsidRPr="00A928E8">
        <w:rPr>
          <w:rFonts w:cs="Arial"/>
        </w:rPr>
        <w:t xml:space="preserve"> presented to us, but tools for prevention as well. We do this in a variety of ways:</w:t>
      </w:r>
    </w:p>
    <w:p w14:paraId="031149AF" w14:textId="2A7448B9" w:rsidR="007B149C" w:rsidRPr="00A928E8" w:rsidRDefault="007B149C" w:rsidP="007B149C">
      <w:pPr>
        <w:pStyle w:val="ListParagraph"/>
        <w:numPr>
          <w:ilvl w:val="0"/>
          <w:numId w:val="10"/>
        </w:numPr>
        <w:spacing w:line="240" w:lineRule="auto"/>
        <w:rPr>
          <w:rFonts w:cs="Arial"/>
        </w:rPr>
      </w:pPr>
      <w:r w:rsidRPr="00A928E8">
        <w:rPr>
          <w:rFonts w:cs="Arial"/>
        </w:rPr>
        <w:t>Allowing businesses access to their complaints data, including the volumes and types of enquiries and disputes considered, as well as more granular information;</w:t>
      </w:r>
    </w:p>
    <w:p w14:paraId="644AB694" w14:textId="58D67B9F" w:rsidR="007B149C" w:rsidRPr="00A928E8" w:rsidRDefault="007B149C" w:rsidP="007B149C">
      <w:pPr>
        <w:pStyle w:val="ListParagraph"/>
        <w:numPr>
          <w:ilvl w:val="0"/>
          <w:numId w:val="10"/>
        </w:numPr>
        <w:spacing w:line="240" w:lineRule="auto"/>
        <w:rPr>
          <w:rFonts w:cs="Arial"/>
        </w:rPr>
      </w:pPr>
      <w:r w:rsidRPr="00A928E8">
        <w:rPr>
          <w:rFonts w:cs="Arial"/>
        </w:rPr>
        <w:t>Regular webinars on a variety of topics, including external speakers where appropriate and useful;</w:t>
      </w:r>
    </w:p>
    <w:p w14:paraId="375161D9" w14:textId="0112844F" w:rsidR="007B149C" w:rsidRPr="00A928E8" w:rsidRDefault="007B149C" w:rsidP="007B149C">
      <w:pPr>
        <w:pStyle w:val="ListParagraph"/>
        <w:numPr>
          <w:ilvl w:val="0"/>
          <w:numId w:val="10"/>
        </w:numPr>
        <w:spacing w:line="240" w:lineRule="auto"/>
        <w:rPr>
          <w:rFonts w:cs="Arial"/>
        </w:rPr>
      </w:pPr>
      <w:r w:rsidRPr="00A928E8">
        <w:rPr>
          <w:rFonts w:cs="Arial"/>
        </w:rPr>
        <w:t xml:space="preserve">The introduction of thought leadership papers, showcasing our insights on </w:t>
      </w:r>
      <w:r w:rsidR="00943A12" w:rsidRPr="00A928E8">
        <w:rPr>
          <w:rFonts w:cs="Arial"/>
        </w:rPr>
        <w:t>multiple topics</w:t>
      </w:r>
      <w:r w:rsidRPr="00A928E8">
        <w:rPr>
          <w:rFonts w:cs="Arial"/>
        </w:rPr>
        <w:t>;</w:t>
      </w:r>
    </w:p>
    <w:p w14:paraId="3EF0CA71" w14:textId="2FCD5430" w:rsidR="007B149C" w:rsidRPr="00A928E8" w:rsidRDefault="007B149C" w:rsidP="007B149C">
      <w:pPr>
        <w:pStyle w:val="ListParagraph"/>
        <w:numPr>
          <w:ilvl w:val="0"/>
          <w:numId w:val="10"/>
        </w:numPr>
        <w:spacing w:line="240" w:lineRule="auto"/>
        <w:rPr>
          <w:rFonts w:cs="Arial"/>
        </w:rPr>
      </w:pPr>
      <w:r w:rsidRPr="00A928E8">
        <w:rPr>
          <w:rFonts w:cs="Arial"/>
        </w:rPr>
        <w:t>Committee meetings for manufacturers and warranty providers, providing a forum for collaboration;</w:t>
      </w:r>
    </w:p>
    <w:p w14:paraId="7323719A" w14:textId="4A49DED8" w:rsidR="007B149C" w:rsidRPr="00A928E8" w:rsidRDefault="00943A12" w:rsidP="007B149C">
      <w:pPr>
        <w:pStyle w:val="ListParagraph"/>
        <w:numPr>
          <w:ilvl w:val="0"/>
          <w:numId w:val="10"/>
        </w:numPr>
        <w:spacing w:line="240" w:lineRule="auto"/>
        <w:rPr>
          <w:rFonts w:cs="Arial"/>
        </w:rPr>
      </w:pPr>
      <w:r w:rsidRPr="00A928E8">
        <w:rPr>
          <w:rFonts w:cs="Arial"/>
        </w:rPr>
        <w:t>Individual decisions providing practical recommendations for change;</w:t>
      </w:r>
    </w:p>
    <w:p w14:paraId="0EF6D10C" w14:textId="359AED41" w:rsidR="00833866" w:rsidRDefault="00943A12" w:rsidP="007B149C">
      <w:pPr>
        <w:pStyle w:val="ListParagraph"/>
        <w:numPr>
          <w:ilvl w:val="0"/>
          <w:numId w:val="10"/>
        </w:numPr>
        <w:spacing w:line="240" w:lineRule="auto"/>
        <w:rPr>
          <w:rFonts w:cs="Arial"/>
        </w:rPr>
      </w:pPr>
      <w:r w:rsidRPr="00A928E8">
        <w:rPr>
          <w:rFonts w:cs="Arial"/>
        </w:rPr>
        <w:t>Topical emails around the industry, complaint trends and interesting news.</w:t>
      </w:r>
    </w:p>
    <w:p w14:paraId="138C9BC6" w14:textId="77777777" w:rsidR="00833866" w:rsidRDefault="00833866">
      <w:pPr>
        <w:rPr>
          <w:rFonts w:cs="Arial"/>
        </w:rPr>
      </w:pPr>
      <w:r>
        <w:rPr>
          <w:rFonts w:cs="Arial"/>
        </w:rPr>
        <w:br w:type="page"/>
      </w:r>
    </w:p>
    <w:p w14:paraId="6B5EF99D" w14:textId="77777777" w:rsidR="00943A12" w:rsidRPr="00A928E8" w:rsidRDefault="00943A12" w:rsidP="00833866">
      <w:pPr>
        <w:pStyle w:val="ListParagraph"/>
        <w:spacing w:line="240" w:lineRule="auto"/>
        <w:rPr>
          <w:rFonts w:cs="Arial"/>
        </w:rPr>
      </w:pPr>
    </w:p>
    <w:p w14:paraId="193BF21D" w14:textId="77777777" w:rsidR="00943A12" w:rsidRPr="007B149C" w:rsidRDefault="00943A12" w:rsidP="00943A12">
      <w:pPr>
        <w:pStyle w:val="ListParagraph"/>
        <w:spacing w:line="240" w:lineRule="auto"/>
        <w:rPr>
          <w:rFonts w:cs="Arial"/>
          <w:color w:val="FF0000"/>
        </w:rPr>
      </w:pPr>
    </w:p>
    <w:p w14:paraId="7B1FCB51" w14:textId="1D9AD532" w:rsidR="00262376" w:rsidRPr="00CB5B37" w:rsidRDefault="00262376" w:rsidP="001576C9">
      <w:pPr>
        <w:pStyle w:val="ListParagraph"/>
        <w:numPr>
          <w:ilvl w:val="0"/>
          <w:numId w:val="1"/>
        </w:numPr>
        <w:spacing w:line="240" w:lineRule="auto"/>
        <w:rPr>
          <w:rFonts w:cs="Arial"/>
          <w:b/>
          <w:bCs/>
          <w:color w:val="00B0F0"/>
        </w:rPr>
      </w:pPr>
      <w:r w:rsidRPr="00CB5B37">
        <w:rPr>
          <w:rFonts w:cs="Arial"/>
          <w:b/>
          <w:bCs/>
          <w:color w:val="00B0F0"/>
        </w:rPr>
        <w:t>the number of disputes which the ADR entity has refused to deal with, and the percentage share of the grounds set in paragraph 13 of Schedule 3 on which the ADR entity has declined to consider such disputes</w:t>
      </w:r>
      <w:r w:rsidR="00CB5B37" w:rsidRPr="00CB5B37">
        <w:rPr>
          <w:rFonts w:cs="Arial"/>
          <w:b/>
          <w:bCs/>
          <w:color w:val="00B0F0"/>
        </w:rPr>
        <w:t>*:</w:t>
      </w:r>
    </w:p>
    <w:p w14:paraId="5F08436B" w14:textId="77777777" w:rsidR="00925686" w:rsidRPr="001576C9" w:rsidRDefault="00925686" w:rsidP="001576C9">
      <w:pPr>
        <w:pStyle w:val="ListParagraph"/>
        <w:spacing w:line="240" w:lineRule="auto"/>
        <w:ind w:left="360"/>
        <w:rPr>
          <w:rFonts w:cs="Arial"/>
          <w:i/>
          <w:iCs/>
          <w:color w:val="FF0000"/>
        </w:rPr>
      </w:pPr>
    </w:p>
    <w:tbl>
      <w:tblPr>
        <w:tblStyle w:val="TableGrid"/>
        <w:tblW w:w="0" w:type="auto"/>
        <w:tblLook w:val="04A0" w:firstRow="1" w:lastRow="0" w:firstColumn="1" w:lastColumn="0" w:noHBand="0" w:noVBand="1"/>
      </w:tblPr>
      <w:tblGrid>
        <w:gridCol w:w="4508"/>
        <w:gridCol w:w="4508"/>
      </w:tblGrid>
      <w:tr w:rsidR="00925686" w14:paraId="68D32A2C" w14:textId="77777777" w:rsidTr="00925686">
        <w:trPr>
          <w:trHeight w:val="434"/>
        </w:trPr>
        <w:tc>
          <w:tcPr>
            <w:tcW w:w="4508" w:type="dxa"/>
          </w:tcPr>
          <w:p w14:paraId="0BB443D7" w14:textId="22C013A1" w:rsidR="00925686" w:rsidRDefault="00925686" w:rsidP="00925686">
            <w:pPr>
              <w:rPr>
                <w:rFonts w:cs="Arial"/>
              </w:rPr>
            </w:pPr>
            <w:r>
              <w:rPr>
                <w:rFonts w:cs="Arial"/>
              </w:rPr>
              <w:t>Total no. of disputes rejected</w:t>
            </w:r>
            <w:r w:rsidR="00833866">
              <w:rPr>
                <w:rFonts w:cs="Arial"/>
              </w:rPr>
              <w:t>*</w:t>
            </w:r>
          </w:p>
        </w:tc>
        <w:tc>
          <w:tcPr>
            <w:tcW w:w="4508" w:type="dxa"/>
          </w:tcPr>
          <w:p w14:paraId="1D9B45D8" w14:textId="7D419DFF" w:rsidR="00925686" w:rsidRDefault="004D7870" w:rsidP="00262376">
            <w:pPr>
              <w:rPr>
                <w:rFonts w:cs="Arial"/>
              </w:rPr>
            </w:pPr>
            <w:r>
              <w:rPr>
                <w:rFonts w:cs="Arial"/>
              </w:rPr>
              <w:t>3</w:t>
            </w:r>
            <w:r w:rsidR="00307936">
              <w:rPr>
                <w:rFonts w:cs="Arial"/>
              </w:rPr>
              <w:t>,</w:t>
            </w:r>
            <w:r>
              <w:rPr>
                <w:rFonts w:cs="Arial"/>
              </w:rPr>
              <w:t>050</w:t>
            </w:r>
          </w:p>
        </w:tc>
      </w:tr>
    </w:tbl>
    <w:p w14:paraId="34301697" w14:textId="4F13B96F" w:rsidR="00833866" w:rsidRPr="00833866" w:rsidRDefault="00833866" w:rsidP="00262376">
      <w:pPr>
        <w:spacing w:line="240" w:lineRule="auto"/>
        <w:rPr>
          <w:rFonts w:cs="Arial"/>
          <w:sz w:val="16"/>
          <w:szCs w:val="16"/>
        </w:rPr>
      </w:pPr>
      <w:r w:rsidRPr="00833866">
        <w:rPr>
          <w:rFonts w:cs="Arial"/>
          <w:sz w:val="16"/>
          <w:szCs w:val="16"/>
        </w:rPr>
        <w:t>*Please note that this is based on cases closed in the Reporting Period, whereas the figures in (a) are based on cases opened in the Reporting Period, which is why there is a discrepancy.</w:t>
      </w:r>
    </w:p>
    <w:tbl>
      <w:tblPr>
        <w:tblStyle w:val="TableGrid"/>
        <w:tblW w:w="0" w:type="auto"/>
        <w:tblLook w:val="04A0" w:firstRow="1" w:lastRow="0" w:firstColumn="1" w:lastColumn="0" w:noHBand="0" w:noVBand="1"/>
      </w:tblPr>
      <w:tblGrid>
        <w:gridCol w:w="5240"/>
        <w:gridCol w:w="1559"/>
        <w:gridCol w:w="2217"/>
      </w:tblGrid>
      <w:tr w:rsidR="00FB0908" w14:paraId="5F36C457" w14:textId="77777777" w:rsidTr="002D50C3">
        <w:trPr>
          <w:trHeight w:val="451"/>
        </w:trPr>
        <w:tc>
          <w:tcPr>
            <w:tcW w:w="5240" w:type="dxa"/>
          </w:tcPr>
          <w:p w14:paraId="355D4EBF" w14:textId="37F557E3" w:rsidR="00FB0908" w:rsidRPr="002D50C3" w:rsidRDefault="0051749D" w:rsidP="00262376">
            <w:pPr>
              <w:rPr>
                <w:rFonts w:cs="Arial"/>
                <w:b/>
                <w:bCs/>
              </w:rPr>
            </w:pPr>
            <w:r w:rsidRPr="002D50C3">
              <w:rPr>
                <w:rFonts w:cs="Arial"/>
                <w:b/>
                <w:bCs/>
              </w:rPr>
              <w:t>Reason</w:t>
            </w:r>
          </w:p>
        </w:tc>
        <w:tc>
          <w:tcPr>
            <w:tcW w:w="1559" w:type="dxa"/>
          </w:tcPr>
          <w:p w14:paraId="57A2BE24" w14:textId="6BE09295" w:rsidR="00FB0908" w:rsidRPr="002D50C3" w:rsidRDefault="0051749D" w:rsidP="00262376">
            <w:pPr>
              <w:rPr>
                <w:rFonts w:cs="Arial"/>
                <w:b/>
                <w:bCs/>
              </w:rPr>
            </w:pPr>
            <w:r w:rsidRPr="002D50C3">
              <w:rPr>
                <w:rFonts w:cs="Arial"/>
                <w:b/>
                <w:bCs/>
              </w:rPr>
              <w:t>No. rejected</w:t>
            </w:r>
          </w:p>
        </w:tc>
        <w:tc>
          <w:tcPr>
            <w:tcW w:w="2217" w:type="dxa"/>
          </w:tcPr>
          <w:p w14:paraId="1965533B" w14:textId="3D30B435" w:rsidR="00FB0908" w:rsidRPr="002D50C3" w:rsidRDefault="0051749D" w:rsidP="00262376">
            <w:pPr>
              <w:rPr>
                <w:rFonts w:cs="Arial"/>
                <w:b/>
                <w:bCs/>
              </w:rPr>
            </w:pPr>
            <w:r w:rsidRPr="002D50C3">
              <w:rPr>
                <w:rFonts w:cs="Arial"/>
                <w:b/>
                <w:bCs/>
              </w:rPr>
              <w:t>Percentage of rejected</w:t>
            </w:r>
          </w:p>
        </w:tc>
      </w:tr>
      <w:tr w:rsidR="00FB0908" w14:paraId="45BF41B2" w14:textId="77777777" w:rsidTr="002D50C3">
        <w:tc>
          <w:tcPr>
            <w:tcW w:w="5240" w:type="dxa"/>
          </w:tcPr>
          <w:p w14:paraId="53172980" w14:textId="1BD6D6F5" w:rsidR="00FB0908" w:rsidRDefault="00703F46" w:rsidP="00262376">
            <w:pPr>
              <w:rPr>
                <w:rFonts w:cs="Arial"/>
              </w:rPr>
            </w:pPr>
            <w:r>
              <w:rPr>
                <w:rFonts w:cs="Arial"/>
              </w:rPr>
              <w:t>a) the consumer has not attempted to contact the trader first</w:t>
            </w:r>
          </w:p>
        </w:tc>
        <w:tc>
          <w:tcPr>
            <w:tcW w:w="1559" w:type="dxa"/>
          </w:tcPr>
          <w:p w14:paraId="3AA002EB" w14:textId="2CE97F6E" w:rsidR="00FB0908" w:rsidRDefault="00833866" w:rsidP="00262376">
            <w:pPr>
              <w:rPr>
                <w:rFonts w:cs="Arial"/>
              </w:rPr>
            </w:pPr>
            <w:r>
              <w:rPr>
                <w:rFonts w:cs="Arial"/>
              </w:rPr>
              <w:t>132</w:t>
            </w:r>
          </w:p>
        </w:tc>
        <w:tc>
          <w:tcPr>
            <w:tcW w:w="2217" w:type="dxa"/>
          </w:tcPr>
          <w:p w14:paraId="279CCF09" w14:textId="12D6404F" w:rsidR="00FB0908" w:rsidRDefault="00CB5B37" w:rsidP="00262376">
            <w:pPr>
              <w:rPr>
                <w:rFonts w:cs="Arial"/>
              </w:rPr>
            </w:pPr>
            <w:r>
              <w:rPr>
                <w:rFonts w:cs="Arial"/>
              </w:rPr>
              <w:t>4%</w:t>
            </w:r>
          </w:p>
        </w:tc>
      </w:tr>
      <w:tr w:rsidR="00FB0908" w14:paraId="6FD31239" w14:textId="77777777" w:rsidTr="002D50C3">
        <w:tc>
          <w:tcPr>
            <w:tcW w:w="5240" w:type="dxa"/>
          </w:tcPr>
          <w:p w14:paraId="554810B2" w14:textId="5D9AB93D" w:rsidR="00FB0908" w:rsidRDefault="00703F46" w:rsidP="00262376">
            <w:pPr>
              <w:rPr>
                <w:rFonts w:cs="Arial"/>
              </w:rPr>
            </w:pPr>
            <w:r>
              <w:rPr>
                <w:rFonts w:cs="Arial"/>
              </w:rPr>
              <w:t xml:space="preserve">b) </w:t>
            </w:r>
            <w:r w:rsidR="002D50C3">
              <w:rPr>
                <w:rFonts w:cs="Arial"/>
              </w:rPr>
              <w:t xml:space="preserve">the dispute was frivolous or vexatious </w:t>
            </w:r>
          </w:p>
        </w:tc>
        <w:tc>
          <w:tcPr>
            <w:tcW w:w="1559" w:type="dxa"/>
          </w:tcPr>
          <w:p w14:paraId="48B55DFF" w14:textId="54FEF079" w:rsidR="00FB0908" w:rsidRDefault="001D3C7F" w:rsidP="00262376">
            <w:pPr>
              <w:rPr>
                <w:rFonts w:cs="Arial"/>
              </w:rPr>
            </w:pPr>
            <w:r>
              <w:rPr>
                <w:rFonts w:cs="Arial"/>
              </w:rPr>
              <w:t>0</w:t>
            </w:r>
          </w:p>
        </w:tc>
        <w:tc>
          <w:tcPr>
            <w:tcW w:w="2217" w:type="dxa"/>
          </w:tcPr>
          <w:p w14:paraId="70E3D79A" w14:textId="51E9D0CF" w:rsidR="00FB0908" w:rsidRDefault="001D3C7F" w:rsidP="00262376">
            <w:pPr>
              <w:rPr>
                <w:rFonts w:cs="Arial"/>
              </w:rPr>
            </w:pPr>
            <w:r>
              <w:rPr>
                <w:rFonts w:cs="Arial"/>
              </w:rPr>
              <w:t>0%</w:t>
            </w:r>
          </w:p>
        </w:tc>
      </w:tr>
      <w:tr w:rsidR="00FB0908" w14:paraId="5E841461" w14:textId="77777777" w:rsidTr="002D50C3">
        <w:tc>
          <w:tcPr>
            <w:tcW w:w="5240" w:type="dxa"/>
          </w:tcPr>
          <w:p w14:paraId="0F6F0879" w14:textId="6724B33A" w:rsidR="00FB0908" w:rsidRDefault="002D50C3" w:rsidP="00262376">
            <w:pPr>
              <w:rPr>
                <w:rFonts w:cs="Arial"/>
              </w:rPr>
            </w:pPr>
            <w:r>
              <w:rPr>
                <w:rFonts w:cs="Arial"/>
              </w:rPr>
              <w:t>c) the dispute had been previously considered by another ADR body or the court</w:t>
            </w:r>
          </w:p>
        </w:tc>
        <w:tc>
          <w:tcPr>
            <w:tcW w:w="1559" w:type="dxa"/>
          </w:tcPr>
          <w:p w14:paraId="31A4D5DC" w14:textId="320E35BF" w:rsidR="00FB0908" w:rsidRDefault="00833866" w:rsidP="00262376">
            <w:pPr>
              <w:rPr>
                <w:rFonts w:cs="Arial"/>
              </w:rPr>
            </w:pPr>
            <w:r>
              <w:rPr>
                <w:rFonts w:cs="Arial"/>
              </w:rPr>
              <w:t>9</w:t>
            </w:r>
          </w:p>
        </w:tc>
        <w:tc>
          <w:tcPr>
            <w:tcW w:w="2217" w:type="dxa"/>
          </w:tcPr>
          <w:p w14:paraId="1BAD32D7" w14:textId="141412D6" w:rsidR="00FB0908" w:rsidRDefault="00CB5B37" w:rsidP="00262376">
            <w:pPr>
              <w:rPr>
                <w:rFonts w:cs="Arial"/>
              </w:rPr>
            </w:pPr>
            <w:r>
              <w:rPr>
                <w:rFonts w:cs="Arial"/>
              </w:rPr>
              <w:t>0.</w:t>
            </w:r>
            <w:r w:rsidR="004D7870">
              <w:rPr>
                <w:rFonts w:cs="Arial"/>
              </w:rPr>
              <w:t>3</w:t>
            </w:r>
            <w:r>
              <w:rPr>
                <w:rFonts w:cs="Arial"/>
              </w:rPr>
              <w:t>%</w:t>
            </w:r>
          </w:p>
        </w:tc>
      </w:tr>
      <w:tr w:rsidR="00FB0908" w14:paraId="79EB6A6F" w14:textId="77777777" w:rsidTr="002D50C3">
        <w:tc>
          <w:tcPr>
            <w:tcW w:w="5240" w:type="dxa"/>
          </w:tcPr>
          <w:p w14:paraId="0C0EC8E0" w14:textId="22D594C4" w:rsidR="00FB0908" w:rsidRDefault="002D50C3" w:rsidP="00262376">
            <w:pPr>
              <w:rPr>
                <w:rFonts w:cs="Arial"/>
              </w:rPr>
            </w:pPr>
            <w:r>
              <w:rPr>
                <w:rFonts w:cs="Arial"/>
              </w:rPr>
              <w:t>d) the value fell below the monetary value</w:t>
            </w:r>
            <w:r w:rsidR="001D3C7F">
              <w:rPr>
                <w:rFonts w:cs="Arial"/>
              </w:rPr>
              <w:t xml:space="preserve"> (above)</w:t>
            </w:r>
          </w:p>
        </w:tc>
        <w:tc>
          <w:tcPr>
            <w:tcW w:w="1559" w:type="dxa"/>
          </w:tcPr>
          <w:p w14:paraId="2E3CE19D" w14:textId="7587BEB3" w:rsidR="00FB0908" w:rsidRDefault="00833866" w:rsidP="00262376">
            <w:pPr>
              <w:rPr>
                <w:rFonts w:cs="Arial"/>
              </w:rPr>
            </w:pPr>
            <w:r>
              <w:rPr>
                <w:rFonts w:cs="Arial"/>
              </w:rPr>
              <w:t>3</w:t>
            </w:r>
          </w:p>
        </w:tc>
        <w:tc>
          <w:tcPr>
            <w:tcW w:w="2217" w:type="dxa"/>
          </w:tcPr>
          <w:p w14:paraId="70A80C43" w14:textId="6650927B" w:rsidR="00FB0908" w:rsidRDefault="001D3C7F" w:rsidP="00262376">
            <w:pPr>
              <w:rPr>
                <w:rFonts w:cs="Arial"/>
              </w:rPr>
            </w:pPr>
            <w:r>
              <w:rPr>
                <w:rFonts w:cs="Arial"/>
              </w:rPr>
              <w:t>0</w:t>
            </w:r>
            <w:r w:rsidR="00CB5B37">
              <w:rPr>
                <w:rFonts w:cs="Arial"/>
              </w:rPr>
              <w:t>.</w:t>
            </w:r>
            <w:r w:rsidR="004D7870">
              <w:rPr>
                <w:rFonts w:cs="Arial"/>
              </w:rPr>
              <w:t>1</w:t>
            </w:r>
            <w:r>
              <w:rPr>
                <w:rFonts w:cs="Arial"/>
              </w:rPr>
              <w:t>%</w:t>
            </w:r>
          </w:p>
        </w:tc>
      </w:tr>
      <w:tr w:rsidR="00FB0908" w14:paraId="48E36C9C" w14:textId="77777777" w:rsidTr="002D50C3">
        <w:tc>
          <w:tcPr>
            <w:tcW w:w="5240" w:type="dxa"/>
          </w:tcPr>
          <w:p w14:paraId="575F2D84" w14:textId="12149B40" w:rsidR="00FB0908" w:rsidRDefault="002D50C3" w:rsidP="00262376">
            <w:pPr>
              <w:rPr>
                <w:rFonts w:cs="Arial"/>
              </w:rPr>
            </w:pPr>
            <w:r>
              <w:rPr>
                <w:rFonts w:cs="Arial"/>
              </w:rPr>
              <w:t>e) the consumer did not submit the disputes within the time period specified</w:t>
            </w:r>
          </w:p>
        </w:tc>
        <w:tc>
          <w:tcPr>
            <w:tcW w:w="1559" w:type="dxa"/>
          </w:tcPr>
          <w:p w14:paraId="79621144" w14:textId="1E780F1F" w:rsidR="00FB0908" w:rsidRDefault="00833866" w:rsidP="00262376">
            <w:pPr>
              <w:rPr>
                <w:rFonts w:cs="Arial"/>
              </w:rPr>
            </w:pPr>
            <w:r>
              <w:rPr>
                <w:rFonts w:cs="Arial"/>
              </w:rPr>
              <w:t>3</w:t>
            </w:r>
          </w:p>
        </w:tc>
        <w:tc>
          <w:tcPr>
            <w:tcW w:w="2217" w:type="dxa"/>
          </w:tcPr>
          <w:p w14:paraId="423D689F" w14:textId="5500898E" w:rsidR="00FB0908" w:rsidRDefault="00CB5B37" w:rsidP="00262376">
            <w:pPr>
              <w:rPr>
                <w:rFonts w:cs="Arial"/>
              </w:rPr>
            </w:pPr>
            <w:r>
              <w:rPr>
                <w:rFonts w:cs="Arial"/>
              </w:rPr>
              <w:t>0.</w:t>
            </w:r>
            <w:r w:rsidR="004D7870">
              <w:rPr>
                <w:rFonts w:cs="Arial"/>
              </w:rPr>
              <w:t>1</w:t>
            </w:r>
            <w:r>
              <w:rPr>
                <w:rFonts w:cs="Arial"/>
              </w:rPr>
              <w:t>%</w:t>
            </w:r>
          </w:p>
        </w:tc>
      </w:tr>
      <w:tr w:rsidR="00FB0908" w14:paraId="7B335324" w14:textId="77777777" w:rsidTr="002D50C3">
        <w:tc>
          <w:tcPr>
            <w:tcW w:w="5240" w:type="dxa"/>
          </w:tcPr>
          <w:p w14:paraId="57CA7623" w14:textId="64DB393C" w:rsidR="00FB0908" w:rsidRDefault="002D50C3" w:rsidP="00262376">
            <w:pPr>
              <w:rPr>
                <w:rFonts w:cs="Arial"/>
              </w:rPr>
            </w:pPr>
            <w:r>
              <w:rPr>
                <w:rFonts w:cs="Arial"/>
              </w:rPr>
              <w:t xml:space="preserve">f) dealing with the dispute would have impaired the </w:t>
            </w:r>
            <w:r w:rsidR="005071EE">
              <w:rPr>
                <w:rFonts w:cs="Arial"/>
              </w:rPr>
              <w:t>operation of the ADR body</w:t>
            </w:r>
          </w:p>
        </w:tc>
        <w:tc>
          <w:tcPr>
            <w:tcW w:w="1559" w:type="dxa"/>
          </w:tcPr>
          <w:p w14:paraId="0D22F1E9" w14:textId="4EEAF848" w:rsidR="00FB0908" w:rsidRDefault="001D3C7F" w:rsidP="00262376">
            <w:pPr>
              <w:rPr>
                <w:rFonts w:cs="Arial"/>
              </w:rPr>
            </w:pPr>
            <w:r>
              <w:rPr>
                <w:rFonts w:cs="Arial"/>
              </w:rPr>
              <w:t>0</w:t>
            </w:r>
          </w:p>
        </w:tc>
        <w:tc>
          <w:tcPr>
            <w:tcW w:w="2217" w:type="dxa"/>
          </w:tcPr>
          <w:p w14:paraId="10A73F47" w14:textId="4DA33D49" w:rsidR="00FB0908" w:rsidRDefault="001D3C7F" w:rsidP="00262376">
            <w:pPr>
              <w:rPr>
                <w:rFonts w:cs="Arial"/>
              </w:rPr>
            </w:pPr>
            <w:r>
              <w:rPr>
                <w:rFonts w:cs="Arial"/>
              </w:rPr>
              <w:t>0%</w:t>
            </w:r>
          </w:p>
        </w:tc>
      </w:tr>
      <w:tr w:rsidR="00747A9D" w14:paraId="62ED8CD5" w14:textId="77777777" w:rsidTr="002D50C3">
        <w:tc>
          <w:tcPr>
            <w:tcW w:w="5240" w:type="dxa"/>
          </w:tcPr>
          <w:p w14:paraId="044D26B5" w14:textId="7BAD784F" w:rsidR="00747A9D" w:rsidRDefault="00747A9D" w:rsidP="00262376">
            <w:pPr>
              <w:rPr>
                <w:rFonts w:cs="Arial"/>
              </w:rPr>
            </w:pPr>
            <w:r>
              <w:rPr>
                <w:rFonts w:cs="Arial"/>
              </w:rPr>
              <w:t>g) other (enquired too early, not yet complained to trader, trader not member, advice call etc…</w:t>
            </w:r>
          </w:p>
        </w:tc>
        <w:tc>
          <w:tcPr>
            <w:tcW w:w="1559" w:type="dxa"/>
          </w:tcPr>
          <w:p w14:paraId="1ED29684" w14:textId="20933EC7" w:rsidR="00747A9D" w:rsidRDefault="001D3C7F" w:rsidP="00262376">
            <w:pPr>
              <w:rPr>
                <w:rFonts w:cs="Arial"/>
              </w:rPr>
            </w:pPr>
            <w:r>
              <w:rPr>
                <w:rFonts w:cs="Arial"/>
              </w:rPr>
              <w:t>2,</w:t>
            </w:r>
            <w:r w:rsidR="004D7870">
              <w:rPr>
                <w:rFonts w:cs="Arial"/>
              </w:rPr>
              <w:t>903</w:t>
            </w:r>
          </w:p>
        </w:tc>
        <w:tc>
          <w:tcPr>
            <w:tcW w:w="2217" w:type="dxa"/>
          </w:tcPr>
          <w:p w14:paraId="0FE5189A" w14:textId="74688360" w:rsidR="00747A9D" w:rsidRDefault="00CB5B37" w:rsidP="00262376">
            <w:pPr>
              <w:rPr>
                <w:rFonts w:cs="Arial"/>
              </w:rPr>
            </w:pPr>
            <w:r>
              <w:rPr>
                <w:rFonts w:cs="Arial"/>
              </w:rPr>
              <w:t>9</w:t>
            </w:r>
            <w:r w:rsidR="004D7870">
              <w:rPr>
                <w:rFonts w:cs="Arial"/>
              </w:rPr>
              <w:t>6</w:t>
            </w:r>
            <w:r>
              <w:rPr>
                <w:rFonts w:cs="Arial"/>
              </w:rPr>
              <w:t>%</w:t>
            </w:r>
          </w:p>
        </w:tc>
      </w:tr>
    </w:tbl>
    <w:p w14:paraId="35411CA6" w14:textId="494AAFD1" w:rsidR="00A928E8" w:rsidRDefault="00CB5B37" w:rsidP="00262376">
      <w:pPr>
        <w:spacing w:line="240" w:lineRule="auto"/>
        <w:rPr>
          <w:rFonts w:cs="Arial"/>
          <w:sz w:val="18"/>
          <w:szCs w:val="18"/>
        </w:rPr>
      </w:pPr>
      <w:r w:rsidRPr="00CB5B37">
        <w:rPr>
          <w:rFonts w:cs="Arial"/>
          <w:sz w:val="18"/>
          <w:szCs w:val="18"/>
        </w:rPr>
        <w:t>*please note this exceeds 100% due to rounding.</w:t>
      </w:r>
    </w:p>
    <w:p w14:paraId="2E2EAC18" w14:textId="32B2B88F" w:rsidR="00262376" w:rsidRPr="00CB5B37" w:rsidRDefault="00262376" w:rsidP="001576C9">
      <w:pPr>
        <w:pStyle w:val="ListParagraph"/>
        <w:numPr>
          <w:ilvl w:val="0"/>
          <w:numId w:val="1"/>
        </w:numPr>
        <w:spacing w:line="240" w:lineRule="auto"/>
        <w:rPr>
          <w:rFonts w:cs="Arial"/>
          <w:b/>
          <w:bCs/>
          <w:color w:val="00B0F0"/>
        </w:rPr>
      </w:pPr>
      <w:r w:rsidRPr="00CB5B37">
        <w:rPr>
          <w:rFonts w:cs="Arial"/>
          <w:b/>
          <w:bCs/>
          <w:color w:val="00B0F0"/>
        </w:rPr>
        <w:t>the percentage of alternative dispute resolution procedures which were discontinued for operational reasons and, if known, the reasons for discontinuation</w:t>
      </w:r>
      <w:r w:rsidR="00CB5B37" w:rsidRPr="00CB5B37">
        <w:rPr>
          <w:rFonts w:cs="Arial"/>
          <w:b/>
          <w:bCs/>
          <w:color w:val="00B0F0"/>
        </w:rPr>
        <w:t>:</w:t>
      </w:r>
    </w:p>
    <w:p w14:paraId="2768E49C" w14:textId="7E16FC13" w:rsidR="001576C9" w:rsidRDefault="001576C9" w:rsidP="001576C9">
      <w:pPr>
        <w:pStyle w:val="ListParagraph"/>
        <w:spacing w:line="240" w:lineRule="auto"/>
        <w:ind w:left="360"/>
        <w:rPr>
          <w:rFonts w:cs="Arial"/>
          <w:i/>
          <w:iCs/>
          <w:color w:val="FF0000"/>
        </w:rPr>
      </w:pPr>
    </w:p>
    <w:tbl>
      <w:tblPr>
        <w:tblStyle w:val="TableGrid"/>
        <w:tblW w:w="0" w:type="auto"/>
        <w:tblInd w:w="-5" w:type="dxa"/>
        <w:tblLook w:val="04A0" w:firstRow="1" w:lastRow="0" w:firstColumn="1" w:lastColumn="0" w:noHBand="0" w:noVBand="1"/>
      </w:tblPr>
      <w:tblGrid>
        <w:gridCol w:w="4253"/>
        <w:gridCol w:w="2126"/>
        <w:gridCol w:w="2642"/>
      </w:tblGrid>
      <w:tr w:rsidR="00DB5E57" w14:paraId="54F54A07" w14:textId="77777777" w:rsidTr="00DB5E57">
        <w:tc>
          <w:tcPr>
            <w:tcW w:w="4253" w:type="dxa"/>
          </w:tcPr>
          <w:p w14:paraId="3F3C3AAE" w14:textId="77777777" w:rsidR="00C71DD0" w:rsidRPr="00DB5E57" w:rsidRDefault="00C71DD0" w:rsidP="001576C9">
            <w:pPr>
              <w:pStyle w:val="ListParagraph"/>
              <w:ind w:left="0"/>
              <w:rPr>
                <w:rFonts w:cs="Arial"/>
              </w:rPr>
            </w:pPr>
          </w:p>
        </w:tc>
        <w:tc>
          <w:tcPr>
            <w:tcW w:w="2126" w:type="dxa"/>
          </w:tcPr>
          <w:p w14:paraId="04A3F371" w14:textId="11FDA6FB" w:rsidR="00C71DD0" w:rsidRPr="00DB5E57" w:rsidRDefault="00C71DD0" w:rsidP="001576C9">
            <w:pPr>
              <w:pStyle w:val="ListParagraph"/>
              <w:ind w:left="0"/>
              <w:rPr>
                <w:rFonts w:cs="Arial"/>
                <w:b/>
                <w:bCs/>
              </w:rPr>
            </w:pPr>
            <w:r w:rsidRPr="00DB5E57">
              <w:rPr>
                <w:rFonts w:cs="Arial"/>
                <w:b/>
                <w:bCs/>
              </w:rPr>
              <w:t xml:space="preserve">No. </w:t>
            </w:r>
            <w:r w:rsidR="00DB5E57">
              <w:rPr>
                <w:rFonts w:cs="Arial"/>
                <w:b/>
                <w:bCs/>
              </w:rPr>
              <w:t>discontinued</w:t>
            </w:r>
          </w:p>
        </w:tc>
        <w:tc>
          <w:tcPr>
            <w:tcW w:w="2642" w:type="dxa"/>
          </w:tcPr>
          <w:p w14:paraId="20BEDB71" w14:textId="519333E2" w:rsidR="00C71DD0" w:rsidRPr="00DB5E57" w:rsidRDefault="00DB5E57" w:rsidP="00DB5E57">
            <w:pPr>
              <w:pStyle w:val="ListParagraph"/>
              <w:ind w:left="0"/>
              <w:jc w:val="center"/>
              <w:rPr>
                <w:rFonts w:cs="Arial"/>
                <w:b/>
                <w:bCs/>
              </w:rPr>
            </w:pPr>
            <w:r w:rsidRPr="00DB5E57">
              <w:rPr>
                <w:rFonts w:cs="Arial"/>
                <w:b/>
                <w:bCs/>
              </w:rPr>
              <w:t xml:space="preserve">Percentage of </w:t>
            </w:r>
            <w:r>
              <w:rPr>
                <w:rFonts w:cs="Arial"/>
                <w:b/>
                <w:bCs/>
              </w:rPr>
              <w:t>discontinued</w:t>
            </w:r>
          </w:p>
        </w:tc>
      </w:tr>
      <w:tr w:rsidR="00DB5E57" w14:paraId="37422894" w14:textId="77777777" w:rsidTr="00DB5E57">
        <w:trPr>
          <w:trHeight w:val="495"/>
        </w:trPr>
        <w:tc>
          <w:tcPr>
            <w:tcW w:w="4253" w:type="dxa"/>
          </w:tcPr>
          <w:p w14:paraId="6125CF6C" w14:textId="302AFF2B" w:rsidR="00C71DD0" w:rsidRPr="007B78AA" w:rsidRDefault="00DB5E57" w:rsidP="001576C9">
            <w:pPr>
              <w:pStyle w:val="ListParagraph"/>
              <w:ind w:left="0"/>
              <w:rPr>
                <w:rFonts w:cs="Arial"/>
              </w:rPr>
            </w:pPr>
            <w:r w:rsidRPr="007B78AA">
              <w:rPr>
                <w:rFonts w:cs="Arial"/>
              </w:rPr>
              <w:t>Discontinued for operational reasons</w:t>
            </w:r>
          </w:p>
        </w:tc>
        <w:tc>
          <w:tcPr>
            <w:tcW w:w="2126" w:type="dxa"/>
          </w:tcPr>
          <w:p w14:paraId="02935D1F" w14:textId="511A6029" w:rsidR="00C71DD0" w:rsidRPr="00DB5E57" w:rsidRDefault="0023289C" w:rsidP="001576C9">
            <w:pPr>
              <w:pStyle w:val="ListParagraph"/>
              <w:ind w:left="0"/>
              <w:rPr>
                <w:rFonts w:cs="Arial"/>
              </w:rPr>
            </w:pPr>
            <w:r>
              <w:rPr>
                <w:rFonts w:cs="Arial"/>
              </w:rPr>
              <w:t>0</w:t>
            </w:r>
          </w:p>
        </w:tc>
        <w:tc>
          <w:tcPr>
            <w:tcW w:w="2642" w:type="dxa"/>
          </w:tcPr>
          <w:p w14:paraId="6A681D8A" w14:textId="0889AD49" w:rsidR="00C71DD0" w:rsidRPr="00DB5E57" w:rsidRDefault="0023289C" w:rsidP="001576C9">
            <w:pPr>
              <w:pStyle w:val="ListParagraph"/>
              <w:ind w:left="0"/>
              <w:rPr>
                <w:rFonts w:cs="Arial"/>
              </w:rPr>
            </w:pPr>
            <w:r>
              <w:rPr>
                <w:rFonts w:cs="Arial"/>
              </w:rPr>
              <w:t>0%</w:t>
            </w:r>
          </w:p>
        </w:tc>
      </w:tr>
    </w:tbl>
    <w:p w14:paraId="52D16913" w14:textId="6C8E004E" w:rsidR="001576C9" w:rsidRDefault="001576C9" w:rsidP="001576C9">
      <w:pPr>
        <w:pStyle w:val="ListParagraph"/>
        <w:spacing w:line="240" w:lineRule="auto"/>
        <w:ind w:left="360"/>
        <w:rPr>
          <w:rFonts w:cs="Arial"/>
          <w:i/>
          <w:iCs/>
          <w:color w:val="FF0000"/>
        </w:rPr>
      </w:pPr>
    </w:p>
    <w:p w14:paraId="1EAEB363" w14:textId="2D0D8ECC" w:rsidR="0065675B" w:rsidRPr="003D498D" w:rsidRDefault="0065675B" w:rsidP="003D498D">
      <w:pPr>
        <w:spacing w:line="240" w:lineRule="auto"/>
        <w:rPr>
          <w:rFonts w:cs="Arial"/>
        </w:rPr>
      </w:pPr>
      <w:r w:rsidRPr="003D498D">
        <w:rPr>
          <w:rFonts w:cs="Arial"/>
        </w:rPr>
        <w:t xml:space="preserve">Reasons for discontinuation: </w:t>
      </w:r>
    </w:p>
    <w:p w14:paraId="25443F41" w14:textId="680F0B65" w:rsidR="00AE4414" w:rsidRDefault="0023289C" w:rsidP="00262376">
      <w:pPr>
        <w:spacing w:line="240" w:lineRule="auto"/>
        <w:rPr>
          <w:rFonts w:cs="Arial"/>
        </w:rPr>
      </w:pPr>
      <w:r>
        <w:rPr>
          <w:rFonts w:cs="Arial"/>
        </w:rPr>
        <w:t>N/A</w:t>
      </w:r>
    </w:p>
    <w:p w14:paraId="6ABEA011" w14:textId="7DFCD420" w:rsidR="001576C9" w:rsidRPr="00CB5B37" w:rsidRDefault="00262376" w:rsidP="00400BC3">
      <w:pPr>
        <w:pStyle w:val="ListParagraph"/>
        <w:numPr>
          <w:ilvl w:val="0"/>
          <w:numId w:val="1"/>
        </w:numPr>
        <w:spacing w:line="240" w:lineRule="auto"/>
        <w:rPr>
          <w:rFonts w:cs="Arial"/>
          <w:b/>
          <w:bCs/>
          <w:color w:val="00B0F0"/>
        </w:rPr>
      </w:pPr>
      <w:r w:rsidRPr="00CB5B37">
        <w:rPr>
          <w:rFonts w:cs="Arial"/>
          <w:b/>
          <w:bCs/>
          <w:color w:val="00B0F0"/>
        </w:rPr>
        <w:t>the average time taken to resolve domestic disputes and cross-border disputes</w:t>
      </w:r>
      <w:r w:rsidR="00CB5B37" w:rsidRPr="00CB5B37">
        <w:rPr>
          <w:rFonts w:cs="Arial"/>
          <w:b/>
          <w:bCs/>
          <w:color w:val="00B0F0"/>
        </w:rPr>
        <w:t>:</w:t>
      </w:r>
    </w:p>
    <w:tbl>
      <w:tblPr>
        <w:tblStyle w:val="TableGrid"/>
        <w:tblW w:w="0" w:type="auto"/>
        <w:tblLook w:val="04A0" w:firstRow="1" w:lastRow="0" w:firstColumn="1" w:lastColumn="0" w:noHBand="0" w:noVBand="1"/>
      </w:tblPr>
      <w:tblGrid>
        <w:gridCol w:w="4248"/>
        <w:gridCol w:w="2410"/>
        <w:gridCol w:w="2358"/>
      </w:tblGrid>
      <w:tr w:rsidR="003D498D" w14:paraId="6A6D1FEC" w14:textId="77777777" w:rsidTr="003D498D">
        <w:tc>
          <w:tcPr>
            <w:tcW w:w="4248" w:type="dxa"/>
          </w:tcPr>
          <w:p w14:paraId="5847CC31" w14:textId="77777777" w:rsidR="003D498D" w:rsidRDefault="003D498D" w:rsidP="00262376">
            <w:pPr>
              <w:rPr>
                <w:rFonts w:cs="Arial"/>
              </w:rPr>
            </w:pPr>
          </w:p>
        </w:tc>
        <w:tc>
          <w:tcPr>
            <w:tcW w:w="2410" w:type="dxa"/>
          </w:tcPr>
          <w:p w14:paraId="557154FB" w14:textId="1DE7CD5B" w:rsidR="003D498D" w:rsidRPr="007B78AA" w:rsidRDefault="003D498D" w:rsidP="00262376">
            <w:pPr>
              <w:rPr>
                <w:rFonts w:cs="Arial"/>
                <w:b/>
                <w:bCs/>
              </w:rPr>
            </w:pPr>
            <w:r w:rsidRPr="007B78AA">
              <w:rPr>
                <w:rFonts w:cs="Arial"/>
                <w:b/>
                <w:bCs/>
              </w:rPr>
              <w:t>Domestic</w:t>
            </w:r>
          </w:p>
        </w:tc>
        <w:tc>
          <w:tcPr>
            <w:tcW w:w="2358" w:type="dxa"/>
          </w:tcPr>
          <w:p w14:paraId="77D61193" w14:textId="23C01F32" w:rsidR="003D498D" w:rsidRPr="007B78AA" w:rsidRDefault="003D498D" w:rsidP="00262376">
            <w:pPr>
              <w:rPr>
                <w:rFonts w:cs="Arial"/>
                <w:b/>
                <w:bCs/>
              </w:rPr>
            </w:pPr>
            <w:r w:rsidRPr="007B78AA">
              <w:rPr>
                <w:rFonts w:cs="Arial"/>
                <w:b/>
                <w:bCs/>
              </w:rPr>
              <w:t>Cross-border</w:t>
            </w:r>
          </w:p>
        </w:tc>
      </w:tr>
      <w:tr w:rsidR="003D498D" w:rsidRPr="00400BC3" w14:paraId="3A707C58" w14:textId="77777777" w:rsidTr="003D498D">
        <w:tc>
          <w:tcPr>
            <w:tcW w:w="4248" w:type="dxa"/>
          </w:tcPr>
          <w:p w14:paraId="776E93BF" w14:textId="0F17B7C8" w:rsidR="003D498D" w:rsidRPr="00400BC3" w:rsidRDefault="003D498D" w:rsidP="00262376">
            <w:pPr>
              <w:rPr>
                <w:rFonts w:cs="Arial"/>
              </w:rPr>
            </w:pPr>
            <w:r w:rsidRPr="00400BC3">
              <w:rPr>
                <w:rFonts w:cs="Arial"/>
              </w:rPr>
              <w:t xml:space="preserve">Average time taken to resolve disputes (from receipt of complaint) </w:t>
            </w:r>
          </w:p>
        </w:tc>
        <w:tc>
          <w:tcPr>
            <w:tcW w:w="2410" w:type="dxa"/>
          </w:tcPr>
          <w:p w14:paraId="6826FF9E" w14:textId="327F220B" w:rsidR="008412BE" w:rsidRPr="008412BE" w:rsidRDefault="00400BC3" w:rsidP="00307936">
            <w:pPr>
              <w:rPr>
                <w:rFonts w:cs="Arial"/>
                <w:i/>
                <w:iCs/>
              </w:rPr>
            </w:pPr>
            <w:r w:rsidRPr="008412BE">
              <w:rPr>
                <w:rFonts w:cs="Arial"/>
                <w:b/>
                <w:bCs/>
              </w:rPr>
              <w:t>354</w:t>
            </w:r>
            <w:r w:rsidRPr="00400BC3">
              <w:rPr>
                <w:rFonts w:cs="Arial"/>
              </w:rPr>
              <w:t xml:space="preserve"> days</w:t>
            </w:r>
            <w:r w:rsidR="008412BE">
              <w:rPr>
                <w:rFonts w:cs="Arial"/>
              </w:rPr>
              <w:t xml:space="preserve"> </w:t>
            </w:r>
          </w:p>
        </w:tc>
        <w:tc>
          <w:tcPr>
            <w:tcW w:w="2358" w:type="dxa"/>
          </w:tcPr>
          <w:p w14:paraId="3B294CB5" w14:textId="2D60E137" w:rsidR="003D498D" w:rsidRPr="00400BC3" w:rsidRDefault="00400BC3" w:rsidP="00262376">
            <w:pPr>
              <w:rPr>
                <w:rFonts w:cs="Arial"/>
              </w:rPr>
            </w:pPr>
            <w:r w:rsidRPr="00400BC3">
              <w:rPr>
                <w:rFonts w:cs="Arial"/>
              </w:rPr>
              <w:t>N/A</w:t>
            </w:r>
          </w:p>
        </w:tc>
      </w:tr>
      <w:tr w:rsidR="003D498D" w:rsidRPr="00400BC3" w14:paraId="5F653256" w14:textId="77777777" w:rsidTr="003D498D">
        <w:tc>
          <w:tcPr>
            <w:tcW w:w="4248" w:type="dxa"/>
          </w:tcPr>
          <w:p w14:paraId="02FA48FB" w14:textId="645353C8" w:rsidR="003D498D" w:rsidRPr="00400BC3" w:rsidRDefault="003D498D" w:rsidP="00262376">
            <w:pPr>
              <w:rPr>
                <w:rFonts w:cs="Arial"/>
              </w:rPr>
            </w:pPr>
            <w:r w:rsidRPr="00400BC3">
              <w:rPr>
                <w:rFonts w:cs="Arial"/>
              </w:rPr>
              <w:t>Average time taken to resolve disputes (from ‘complete complaint file’)</w:t>
            </w:r>
          </w:p>
        </w:tc>
        <w:tc>
          <w:tcPr>
            <w:tcW w:w="2410" w:type="dxa"/>
          </w:tcPr>
          <w:p w14:paraId="0FB05073" w14:textId="5249CB86" w:rsidR="008412BE" w:rsidRDefault="00400BC3" w:rsidP="00262376">
            <w:pPr>
              <w:rPr>
                <w:rFonts w:cs="Arial"/>
              </w:rPr>
            </w:pPr>
            <w:r w:rsidRPr="008412BE">
              <w:rPr>
                <w:rFonts w:cs="Arial"/>
                <w:b/>
                <w:bCs/>
              </w:rPr>
              <w:t>89</w:t>
            </w:r>
            <w:r w:rsidRPr="00400BC3">
              <w:rPr>
                <w:rFonts w:cs="Arial"/>
              </w:rPr>
              <w:t xml:space="preserve"> days</w:t>
            </w:r>
            <w:r w:rsidR="008412BE">
              <w:rPr>
                <w:rFonts w:cs="Arial"/>
              </w:rPr>
              <w:t xml:space="preserve"> </w:t>
            </w:r>
          </w:p>
          <w:p w14:paraId="1408E59D" w14:textId="77777777" w:rsidR="008412BE" w:rsidRDefault="008412BE" w:rsidP="00262376">
            <w:pPr>
              <w:rPr>
                <w:rFonts w:cs="Arial"/>
              </w:rPr>
            </w:pPr>
          </w:p>
          <w:p w14:paraId="56CE81B9" w14:textId="6660D5DB" w:rsidR="008412BE" w:rsidRPr="00400BC3" w:rsidRDefault="008412BE" w:rsidP="00262376">
            <w:pPr>
              <w:rPr>
                <w:rFonts w:cs="Arial"/>
              </w:rPr>
            </w:pPr>
          </w:p>
        </w:tc>
        <w:tc>
          <w:tcPr>
            <w:tcW w:w="2358" w:type="dxa"/>
          </w:tcPr>
          <w:p w14:paraId="4B538D6B" w14:textId="50BE951F" w:rsidR="003D498D" w:rsidRPr="00400BC3" w:rsidRDefault="00400BC3" w:rsidP="00262376">
            <w:pPr>
              <w:rPr>
                <w:rFonts w:cs="Arial"/>
              </w:rPr>
            </w:pPr>
            <w:r w:rsidRPr="00400BC3">
              <w:rPr>
                <w:rFonts w:cs="Arial"/>
              </w:rPr>
              <w:t>N/A</w:t>
            </w:r>
          </w:p>
        </w:tc>
      </w:tr>
    </w:tbl>
    <w:p w14:paraId="6ED633DA" w14:textId="60245923" w:rsidR="00AE4414" w:rsidRPr="00400BC3" w:rsidRDefault="00AE4414" w:rsidP="00262376">
      <w:pPr>
        <w:spacing w:line="240" w:lineRule="auto"/>
        <w:rPr>
          <w:rFonts w:cs="Arial"/>
        </w:rPr>
      </w:pPr>
    </w:p>
    <w:p w14:paraId="56229724" w14:textId="77777777" w:rsidR="00A928E8" w:rsidRDefault="00A928E8" w:rsidP="00262376">
      <w:pPr>
        <w:spacing w:line="240" w:lineRule="auto"/>
        <w:rPr>
          <w:rFonts w:cs="Arial"/>
        </w:rPr>
      </w:pPr>
    </w:p>
    <w:p w14:paraId="67A57700" w14:textId="6A70833C" w:rsidR="00400BC3" w:rsidRDefault="00400BC3" w:rsidP="00262376">
      <w:pPr>
        <w:spacing w:line="240" w:lineRule="auto"/>
        <w:rPr>
          <w:rFonts w:cs="Arial"/>
        </w:rPr>
      </w:pPr>
      <w:r>
        <w:rPr>
          <w:rFonts w:cs="Arial"/>
        </w:rPr>
        <w:lastRenderedPageBreak/>
        <w:t>Due to operational issues and the pandemic in early 2020, by the end of 2020, we had a significant backlog of cases awaiting investigation. Over the course of 2021, we have recruited additional heads to reduce this backlog – and, as the above figures show, invest</w:t>
      </w:r>
      <w:r w:rsidR="00A928E8">
        <w:rPr>
          <w:rFonts w:cs="Arial"/>
        </w:rPr>
        <w:t>ed</w:t>
      </w:r>
      <w:r>
        <w:rPr>
          <w:rFonts w:cs="Arial"/>
        </w:rPr>
        <w:t xml:space="preserve"> considerably in our Adjudication Team to ensure cases, once a complete case file is received, receive an outcome within 90 days or less. </w:t>
      </w:r>
    </w:p>
    <w:p w14:paraId="28B17A55" w14:textId="18A09615" w:rsidR="00400BC3" w:rsidRDefault="00400BC3" w:rsidP="00262376">
      <w:pPr>
        <w:spacing w:line="240" w:lineRule="auto"/>
        <w:rPr>
          <w:rFonts w:cs="Arial"/>
        </w:rPr>
      </w:pPr>
      <w:r>
        <w:rPr>
          <w:rFonts w:cs="Arial"/>
        </w:rPr>
        <w:t xml:space="preserve">We have also completely revised our investigation processes, placing more of an emphasis on resolving cases early </w:t>
      </w:r>
      <w:r w:rsidR="00A928E8">
        <w:rPr>
          <w:rFonts w:cs="Arial"/>
        </w:rPr>
        <w:t xml:space="preserve">and introducing mediation, </w:t>
      </w:r>
      <w:r>
        <w:rPr>
          <w:rFonts w:cs="Arial"/>
        </w:rPr>
        <w:t>a</w:t>
      </w:r>
      <w:r w:rsidR="00A928E8">
        <w:rPr>
          <w:rFonts w:cs="Arial"/>
        </w:rPr>
        <w:t>s well a</w:t>
      </w:r>
      <w:r>
        <w:rPr>
          <w:rFonts w:cs="Arial"/>
        </w:rPr>
        <w:t xml:space="preserve">s making the process of collecting evidence more streamlined and tailored to the individual complaint. We anticipate that in our next Schedule 5 report, these improvements to our timescales will be clearly demonstrated. </w:t>
      </w:r>
    </w:p>
    <w:p w14:paraId="4A878E8B" w14:textId="0CB5A98D" w:rsidR="00262376" w:rsidRPr="00CB5B37" w:rsidRDefault="00262376" w:rsidP="00163AD4">
      <w:pPr>
        <w:pStyle w:val="ListParagraph"/>
        <w:numPr>
          <w:ilvl w:val="0"/>
          <w:numId w:val="1"/>
        </w:numPr>
        <w:spacing w:line="240" w:lineRule="auto"/>
        <w:rPr>
          <w:rFonts w:cs="Arial"/>
          <w:b/>
          <w:bCs/>
          <w:color w:val="00B0F0"/>
        </w:rPr>
      </w:pPr>
      <w:r w:rsidRPr="00CB5B37">
        <w:rPr>
          <w:rFonts w:cs="Arial"/>
          <w:b/>
          <w:bCs/>
          <w:color w:val="00B0F0"/>
        </w:rPr>
        <w:t>the rate of compliance, if known, with the outcomes</w:t>
      </w:r>
      <w:r w:rsidR="00532E5D" w:rsidRPr="00CB5B37">
        <w:rPr>
          <w:rFonts w:cs="Arial"/>
          <w:b/>
          <w:bCs/>
          <w:color w:val="00B0F0"/>
        </w:rPr>
        <w:t xml:space="preserve"> the alternative dispute resolution procedures</w:t>
      </w:r>
      <w:r w:rsidR="00ED1CEA" w:rsidRPr="00CB5B37">
        <w:rPr>
          <w:rFonts w:cs="Arial"/>
          <w:b/>
          <w:bCs/>
          <w:color w:val="00B0F0"/>
        </w:rPr>
        <w:t xml:space="preserve"> (amongst your members, or those you</w:t>
      </w:r>
      <w:r w:rsidR="00F458E7" w:rsidRPr="00CB5B37">
        <w:rPr>
          <w:rFonts w:cs="Arial"/>
          <w:b/>
          <w:bCs/>
          <w:color w:val="00B0F0"/>
        </w:rPr>
        <w:t xml:space="preserve"> provide ADR for)</w:t>
      </w:r>
      <w:r w:rsidR="00CB5B37" w:rsidRPr="00CB5B37">
        <w:rPr>
          <w:rFonts w:cs="Arial"/>
          <w:b/>
          <w:bCs/>
          <w:color w:val="00B0F0"/>
        </w:rPr>
        <w:t>:</w:t>
      </w:r>
    </w:p>
    <w:p w14:paraId="337A56E4" w14:textId="47EFDAD8" w:rsidR="001828F7" w:rsidRDefault="001828F7" w:rsidP="00262376">
      <w:pPr>
        <w:spacing w:line="240" w:lineRule="auto"/>
        <w:rPr>
          <w:rFonts w:cs="Arial"/>
        </w:rPr>
      </w:pPr>
      <w:r>
        <w:rPr>
          <w:rFonts w:cs="Arial"/>
        </w:rPr>
        <w:t>For this Reporting Period, the rate of compliance is</w:t>
      </w:r>
      <w:r w:rsidR="00CD58A9">
        <w:rPr>
          <w:rFonts w:cs="Arial"/>
        </w:rPr>
        <w:t xml:space="preserve"> 100</w:t>
      </w:r>
      <w:r>
        <w:rPr>
          <w:rFonts w:cs="Arial"/>
        </w:rPr>
        <w:t xml:space="preserve">%. </w:t>
      </w:r>
    </w:p>
    <w:p w14:paraId="265791E6" w14:textId="5C1C2CBC" w:rsidR="00AE4414" w:rsidRPr="004A5D15" w:rsidRDefault="005927D5" w:rsidP="009347C8">
      <w:pPr>
        <w:rPr>
          <w:rFonts w:cs="Arial"/>
          <w:b/>
          <w:bCs/>
          <w:color w:val="00B0F0"/>
        </w:rPr>
      </w:pPr>
      <w:r w:rsidRPr="004A5D15">
        <w:rPr>
          <w:rFonts w:cs="Arial"/>
          <w:b/>
          <w:bCs/>
          <w:color w:val="00B0F0"/>
        </w:rPr>
        <w:t>Please add any additional information or data you think might be useful or interesting at the bottom of this report.</w:t>
      </w:r>
    </w:p>
    <w:p w14:paraId="68658457" w14:textId="0D28D633" w:rsidR="004A5D15" w:rsidRDefault="004A5D15" w:rsidP="00262376">
      <w:pPr>
        <w:spacing w:line="240" w:lineRule="auto"/>
        <w:rPr>
          <w:rFonts w:cs="Arial"/>
        </w:rPr>
      </w:pPr>
      <w:r>
        <w:rPr>
          <w:rFonts w:cs="Arial"/>
        </w:rPr>
        <w:t>Across the Reporting Period, we published a variety of reports on different subjects, providing a wealth of interesting information, data and insight.</w:t>
      </w:r>
    </w:p>
    <w:p w14:paraId="0AFFB802" w14:textId="77777777" w:rsidR="00C23EC1" w:rsidRDefault="004A5D15" w:rsidP="00262376">
      <w:pPr>
        <w:pStyle w:val="ListParagraph"/>
        <w:numPr>
          <w:ilvl w:val="0"/>
          <w:numId w:val="9"/>
        </w:numPr>
        <w:spacing w:line="240" w:lineRule="auto"/>
        <w:rPr>
          <w:rFonts w:cs="Arial"/>
        </w:rPr>
      </w:pPr>
      <w:r w:rsidRPr="004A5D15">
        <w:rPr>
          <w:rFonts w:cs="Arial"/>
        </w:rPr>
        <w:t xml:space="preserve">For our </w:t>
      </w:r>
    </w:p>
    <w:p w14:paraId="581E5966" w14:textId="77777777" w:rsidR="00C23EC1" w:rsidRDefault="00835350" w:rsidP="00C23EC1">
      <w:pPr>
        <w:pStyle w:val="ListParagraph"/>
        <w:numPr>
          <w:ilvl w:val="1"/>
          <w:numId w:val="9"/>
        </w:numPr>
        <w:spacing w:line="240" w:lineRule="auto"/>
        <w:rPr>
          <w:rFonts w:cs="Arial"/>
        </w:rPr>
      </w:pPr>
      <w:r>
        <w:rPr>
          <w:rFonts w:cs="Arial"/>
        </w:rPr>
        <w:t xml:space="preserve">press releases, please click </w:t>
      </w:r>
      <w:hyperlink r:id="rId10" w:history="1">
        <w:r w:rsidRPr="00EA1647">
          <w:rPr>
            <w:rStyle w:val="Hyperlink"/>
            <w:rFonts w:cs="Arial"/>
            <w:b/>
            <w:bCs/>
            <w:color w:val="00B0F0"/>
          </w:rPr>
          <w:t>here</w:t>
        </w:r>
      </w:hyperlink>
      <w:r>
        <w:rPr>
          <w:rFonts w:cs="Arial"/>
        </w:rPr>
        <w:t>.</w:t>
      </w:r>
    </w:p>
    <w:p w14:paraId="3C278776" w14:textId="77777777" w:rsidR="00C23EC1" w:rsidRDefault="004A5D15" w:rsidP="00C23EC1">
      <w:pPr>
        <w:pStyle w:val="ListParagraph"/>
        <w:numPr>
          <w:ilvl w:val="1"/>
          <w:numId w:val="9"/>
        </w:numPr>
        <w:spacing w:line="240" w:lineRule="auto"/>
        <w:rPr>
          <w:rFonts w:cs="Arial"/>
        </w:rPr>
      </w:pPr>
      <w:r w:rsidRPr="00C23EC1">
        <w:rPr>
          <w:rFonts w:cs="Arial"/>
        </w:rPr>
        <w:t xml:space="preserve">thought leadership paper on vehicle sales, please click </w:t>
      </w:r>
      <w:hyperlink r:id="rId11" w:history="1">
        <w:r w:rsidRPr="00C23EC1">
          <w:rPr>
            <w:rStyle w:val="Hyperlink"/>
            <w:rFonts w:cs="Arial"/>
            <w:b/>
            <w:bCs/>
            <w:color w:val="00B0F0"/>
          </w:rPr>
          <w:t>here</w:t>
        </w:r>
      </w:hyperlink>
      <w:r w:rsidRPr="00C23EC1">
        <w:rPr>
          <w:rFonts w:cs="Arial"/>
        </w:rPr>
        <w:t>.</w:t>
      </w:r>
    </w:p>
    <w:p w14:paraId="71AA3F5F" w14:textId="77777777" w:rsidR="00C23EC1" w:rsidRDefault="004A5D15" w:rsidP="00C23EC1">
      <w:pPr>
        <w:pStyle w:val="ListParagraph"/>
        <w:numPr>
          <w:ilvl w:val="1"/>
          <w:numId w:val="9"/>
        </w:numPr>
        <w:spacing w:line="240" w:lineRule="auto"/>
        <w:rPr>
          <w:rFonts w:cs="Arial"/>
        </w:rPr>
      </w:pPr>
      <w:r w:rsidRPr="00C23EC1">
        <w:rPr>
          <w:rFonts w:cs="Arial"/>
        </w:rPr>
        <w:t xml:space="preserve">thought leadership paper on service and repair, please click </w:t>
      </w:r>
      <w:hyperlink r:id="rId12" w:history="1">
        <w:r w:rsidRPr="00C23EC1">
          <w:rPr>
            <w:rStyle w:val="Hyperlink"/>
            <w:rFonts w:cs="Arial"/>
            <w:b/>
            <w:bCs/>
            <w:color w:val="00B0F0"/>
          </w:rPr>
          <w:t>here</w:t>
        </w:r>
      </w:hyperlink>
      <w:r w:rsidRPr="00C23EC1">
        <w:rPr>
          <w:rFonts w:cs="Arial"/>
        </w:rPr>
        <w:t>.</w:t>
      </w:r>
    </w:p>
    <w:p w14:paraId="01AB6F07" w14:textId="77777777" w:rsidR="00C23EC1" w:rsidRDefault="004A5D15" w:rsidP="00C23EC1">
      <w:pPr>
        <w:pStyle w:val="ListParagraph"/>
        <w:numPr>
          <w:ilvl w:val="1"/>
          <w:numId w:val="9"/>
        </w:numPr>
        <w:spacing w:line="240" w:lineRule="auto"/>
        <w:rPr>
          <w:rFonts w:cs="Arial"/>
        </w:rPr>
      </w:pPr>
      <w:r w:rsidRPr="00C23EC1">
        <w:rPr>
          <w:rFonts w:cs="Arial"/>
        </w:rPr>
        <w:t xml:space="preserve">thought leadership paper on vulnerability and social media, please click </w:t>
      </w:r>
      <w:hyperlink r:id="rId13" w:history="1">
        <w:r w:rsidRPr="00C23EC1">
          <w:rPr>
            <w:rStyle w:val="Hyperlink"/>
            <w:rFonts w:cs="Arial"/>
            <w:b/>
            <w:bCs/>
            <w:color w:val="00B0F0"/>
          </w:rPr>
          <w:t>here</w:t>
        </w:r>
      </w:hyperlink>
      <w:r w:rsidRPr="00C23EC1">
        <w:rPr>
          <w:rFonts w:cs="Arial"/>
        </w:rPr>
        <w:t>.</w:t>
      </w:r>
    </w:p>
    <w:p w14:paraId="78182267" w14:textId="50ECB58A" w:rsidR="00C23EC1" w:rsidRDefault="004A5D15" w:rsidP="00C23EC1">
      <w:pPr>
        <w:pStyle w:val="ListParagraph"/>
        <w:numPr>
          <w:ilvl w:val="1"/>
          <w:numId w:val="9"/>
        </w:numPr>
        <w:spacing w:line="240" w:lineRule="auto"/>
        <w:rPr>
          <w:rFonts w:cs="Arial"/>
        </w:rPr>
      </w:pPr>
      <w:r w:rsidRPr="00C23EC1">
        <w:rPr>
          <w:rFonts w:cs="Arial"/>
        </w:rPr>
        <w:t xml:space="preserve">2020 Independent Compliance Assessment Panel (“ICAP”) report, please click </w:t>
      </w:r>
      <w:hyperlink r:id="rId14" w:history="1">
        <w:r w:rsidRPr="00C23EC1">
          <w:rPr>
            <w:rStyle w:val="Hyperlink"/>
            <w:rFonts w:cs="Arial"/>
            <w:b/>
            <w:bCs/>
            <w:color w:val="00B0F0"/>
          </w:rPr>
          <w:t>here</w:t>
        </w:r>
      </w:hyperlink>
    </w:p>
    <w:p w14:paraId="5FF442F2" w14:textId="39E012EA" w:rsidR="004A5D15" w:rsidRPr="00C23EC1" w:rsidRDefault="004A5D15" w:rsidP="00C23EC1">
      <w:pPr>
        <w:pStyle w:val="ListParagraph"/>
        <w:numPr>
          <w:ilvl w:val="1"/>
          <w:numId w:val="9"/>
        </w:numPr>
        <w:spacing w:line="240" w:lineRule="auto"/>
        <w:rPr>
          <w:rFonts w:cs="Arial"/>
        </w:rPr>
      </w:pPr>
      <w:r w:rsidRPr="00C23EC1">
        <w:rPr>
          <w:rFonts w:cs="Arial"/>
        </w:rPr>
        <w:t xml:space="preserve">2020 Annual Report, please click </w:t>
      </w:r>
      <w:hyperlink r:id="rId15" w:history="1">
        <w:r w:rsidRPr="00C23EC1">
          <w:rPr>
            <w:rStyle w:val="Hyperlink"/>
            <w:rFonts w:cs="Arial"/>
            <w:b/>
            <w:bCs/>
            <w:color w:val="00B0F0"/>
          </w:rPr>
          <w:t>here</w:t>
        </w:r>
      </w:hyperlink>
      <w:r w:rsidRPr="00C23EC1">
        <w:rPr>
          <w:rFonts w:cs="Arial"/>
        </w:rPr>
        <w:t>.</w:t>
      </w:r>
    </w:p>
    <w:p w14:paraId="51CEEF7D" w14:textId="77777777" w:rsidR="00E54DEA" w:rsidRDefault="00E54DEA" w:rsidP="00532E5D">
      <w:pPr>
        <w:spacing w:line="240" w:lineRule="auto"/>
        <w:jc w:val="center"/>
        <w:rPr>
          <w:rFonts w:ascii="Neo Sans Std" w:hAnsi="Neo Sans Std" w:cs="Arial"/>
          <w:sz w:val="28"/>
          <w:szCs w:val="28"/>
        </w:rPr>
      </w:pPr>
    </w:p>
    <w:p w14:paraId="36308068" w14:textId="51DE428B" w:rsidR="000979F0" w:rsidRDefault="000979F0">
      <w:pPr>
        <w:rPr>
          <w:rFonts w:ascii="Neo Sans Std" w:hAnsi="Neo Sans Std" w:cs="Arial"/>
          <w:sz w:val="28"/>
          <w:szCs w:val="28"/>
        </w:rPr>
      </w:pPr>
      <w:r>
        <w:rPr>
          <w:rFonts w:ascii="Neo Sans Std" w:hAnsi="Neo Sans Std" w:cs="Arial"/>
          <w:sz w:val="28"/>
          <w:szCs w:val="28"/>
        </w:rPr>
        <w:br w:type="page"/>
      </w:r>
    </w:p>
    <w:p w14:paraId="56ABA63C" w14:textId="77777777" w:rsidR="00AE4414" w:rsidRDefault="00AE4414" w:rsidP="00532E5D">
      <w:pPr>
        <w:spacing w:line="240" w:lineRule="auto"/>
        <w:jc w:val="center"/>
        <w:rPr>
          <w:rFonts w:ascii="Neo Sans Std" w:hAnsi="Neo Sans Std" w:cs="Arial"/>
          <w:sz w:val="28"/>
          <w:szCs w:val="28"/>
        </w:rPr>
      </w:pPr>
    </w:p>
    <w:p w14:paraId="0D93EF9B" w14:textId="21C55479" w:rsidR="000979F0" w:rsidRPr="00300E7B" w:rsidRDefault="000979F0" w:rsidP="000979F0">
      <w:pPr>
        <w:spacing w:line="240" w:lineRule="auto"/>
        <w:jc w:val="center"/>
        <w:rPr>
          <w:rFonts w:cs="Arial"/>
          <w:b/>
          <w:bCs/>
          <w:color w:val="00B0F0"/>
          <w:sz w:val="28"/>
          <w:szCs w:val="28"/>
        </w:rPr>
      </w:pPr>
      <w:r w:rsidRPr="00300E7B">
        <w:rPr>
          <w:rFonts w:cs="Arial"/>
          <w:b/>
          <w:bCs/>
          <w:color w:val="00B0F0"/>
          <w:sz w:val="28"/>
          <w:szCs w:val="28"/>
        </w:rPr>
        <w:t>Schedule 6: The Motor Ombudsman</w:t>
      </w:r>
    </w:p>
    <w:p w14:paraId="7F5BC893" w14:textId="0DD53AE2" w:rsidR="000979F0" w:rsidRPr="00300E7B" w:rsidRDefault="000979F0" w:rsidP="000979F0">
      <w:pPr>
        <w:spacing w:line="240" w:lineRule="auto"/>
        <w:jc w:val="center"/>
        <w:rPr>
          <w:rFonts w:cs="Arial"/>
          <w:b/>
          <w:bCs/>
          <w:color w:val="00B0F0"/>
          <w:sz w:val="28"/>
          <w:szCs w:val="28"/>
        </w:rPr>
      </w:pPr>
      <w:r w:rsidRPr="00300E7B">
        <w:rPr>
          <w:rFonts w:cs="Arial"/>
          <w:b/>
          <w:bCs/>
          <w:color w:val="00B0F0"/>
          <w:sz w:val="28"/>
          <w:szCs w:val="28"/>
        </w:rPr>
        <w:t>Reporting period - 1 October 2019 to 1 October 2021</w:t>
      </w:r>
    </w:p>
    <w:p w14:paraId="5DE2AEBC" w14:textId="57AB6357" w:rsidR="00246746" w:rsidRPr="00300E7B" w:rsidRDefault="00532E5D" w:rsidP="00CD58A9">
      <w:pPr>
        <w:spacing w:line="276" w:lineRule="auto"/>
        <w:jc w:val="center"/>
        <w:rPr>
          <w:rFonts w:cs="Arial"/>
          <w:b/>
          <w:bCs/>
          <w:color w:val="00B0F0"/>
          <w:sz w:val="24"/>
          <w:szCs w:val="24"/>
        </w:rPr>
      </w:pPr>
      <w:r w:rsidRPr="00300E7B">
        <w:rPr>
          <w:rFonts w:cs="Arial"/>
          <w:b/>
          <w:bCs/>
          <w:color w:val="00B0F0"/>
          <w:sz w:val="24"/>
          <w:szCs w:val="24"/>
        </w:rPr>
        <w:t>Information which an ADR entity must communicate to relevant competent authority every two years</w:t>
      </w:r>
    </w:p>
    <w:p w14:paraId="653B161B" w14:textId="378E330B" w:rsidR="00532E5D" w:rsidRDefault="00532E5D" w:rsidP="00163AD4">
      <w:pPr>
        <w:pStyle w:val="ListParagraph"/>
        <w:numPr>
          <w:ilvl w:val="0"/>
          <w:numId w:val="2"/>
        </w:numPr>
        <w:spacing w:line="240" w:lineRule="auto"/>
        <w:rPr>
          <w:rFonts w:cs="Arial"/>
          <w:b/>
          <w:bCs/>
          <w:color w:val="00B0F0"/>
        </w:rPr>
      </w:pPr>
      <w:r w:rsidRPr="00300E7B">
        <w:rPr>
          <w:rFonts w:cs="Arial"/>
          <w:b/>
          <w:bCs/>
          <w:color w:val="00B0F0"/>
        </w:rPr>
        <w:t>the number of disputes received by the ADR entity and the types of complaints to which the disputes relate</w:t>
      </w:r>
      <w:r w:rsidR="00CD58A9" w:rsidRPr="00300E7B">
        <w:rPr>
          <w:rFonts w:cs="Arial"/>
          <w:b/>
          <w:bCs/>
          <w:color w:val="00B0F0"/>
        </w:rPr>
        <w:t>:</w:t>
      </w:r>
    </w:p>
    <w:p w14:paraId="7D044165" w14:textId="3F956B2C" w:rsidR="009347C8" w:rsidRPr="009347C8" w:rsidRDefault="009347C8" w:rsidP="009347C8">
      <w:pPr>
        <w:spacing w:line="240" w:lineRule="auto"/>
        <w:rPr>
          <w:rFonts w:cs="Arial"/>
        </w:rPr>
      </w:pPr>
      <w:r w:rsidRPr="009347C8">
        <w:rPr>
          <w:rFonts w:cs="Arial"/>
        </w:rPr>
        <w:t xml:space="preserve">Across the Reporting Period, TMO has handled </w:t>
      </w:r>
      <w:r w:rsidR="00151F4A">
        <w:rPr>
          <w:rFonts w:cs="Arial"/>
        </w:rPr>
        <w:t>181,690</w:t>
      </w:r>
      <w:r w:rsidRPr="009347C8">
        <w:rPr>
          <w:rFonts w:cs="Arial"/>
        </w:rPr>
        <w:t xml:space="preserve"> contacts through its online form, email, post and telephone. Of those, </w:t>
      </w:r>
      <w:r w:rsidR="00571227">
        <w:rPr>
          <w:rFonts w:cs="Arial"/>
        </w:rPr>
        <w:t>81,171</w:t>
      </w:r>
      <w:r w:rsidRPr="009347C8">
        <w:rPr>
          <w:rFonts w:cs="Arial"/>
        </w:rPr>
        <w:t xml:space="preserve"> were unique contacts – and we have created </w:t>
      </w:r>
      <w:r w:rsidR="00571227">
        <w:rPr>
          <w:rFonts w:cs="Arial"/>
        </w:rPr>
        <w:t>33,469</w:t>
      </w:r>
      <w:r w:rsidRPr="009347C8">
        <w:rPr>
          <w:rFonts w:cs="Arial"/>
        </w:rPr>
        <w:t xml:space="preserve"> new cases. The below shows those cases, termed as enquiries; the number of disputes received and marked as being a potential dispute we could consider; the number of disputes accepted by our service and either going through or having gone through early resolution, adjudication or final decision.</w:t>
      </w:r>
    </w:p>
    <w:p w14:paraId="274DAB4A" w14:textId="77777777" w:rsidR="009347C8" w:rsidRPr="009347C8" w:rsidRDefault="009347C8" w:rsidP="009347C8">
      <w:pPr>
        <w:spacing w:line="240" w:lineRule="auto"/>
        <w:rPr>
          <w:rFonts w:cs="Arial"/>
        </w:rPr>
      </w:pPr>
      <w:r w:rsidRPr="009347C8">
        <w:rPr>
          <w:rFonts w:cs="Arial"/>
        </w:rPr>
        <w:t xml:space="preserve">It is worth noting that 2021 has been a significant period of change and improvement for TMO. As such, our reporting capabilities have been considerably enhanced – however, this does mean we are recording some data differently, and therefore it is not always directly comparable to previous years.  </w:t>
      </w:r>
    </w:p>
    <w:tbl>
      <w:tblPr>
        <w:tblStyle w:val="TableGrid"/>
        <w:tblW w:w="0" w:type="auto"/>
        <w:tblLook w:val="04A0" w:firstRow="1" w:lastRow="0" w:firstColumn="1" w:lastColumn="0" w:noHBand="0" w:noVBand="1"/>
      </w:tblPr>
      <w:tblGrid>
        <w:gridCol w:w="1283"/>
        <w:gridCol w:w="1746"/>
        <w:gridCol w:w="1244"/>
        <w:gridCol w:w="1676"/>
        <w:gridCol w:w="1243"/>
        <w:gridCol w:w="1734"/>
      </w:tblGrid>
      <w:tr w:rsidR="00F803B7" w:rsidRPr="00300E7B" w14:paraId="59D177BF" w14:textId="77777777" w:rsidTr="00D570A4">
        <w:tc>
          <w:tcPr>
            <w:tcW w:w="1283" w:type="dxa"/>
          </w:tcPr>
          <w:p w14:paraId="39FB5979" w14:textId="77777777" w:rsidR="00F803B7" w:rsidRPr="00300E7B" w:rsidRDefault="00F803B7" w:rsidP="00D570A4">
            <w:pPr>
              <w:jc w:val="center"/>
              <w:rPr>
                <w:rFonts w:cs="Arial"/>
              </w:rPr>
            </w:pPr>
            <w:r w:rsidRPr="00300E7B">
              <w:rPr>
                <w:rFonts w:cs="Arial"/>
              </w:rPr>
              <w:t>No. enquiries received</w:t>
            </w:r>
          </w:p>
          <w:p w14:paraId="7AA45417" w14:textId="77777777" w:rsidR="00F803B7" w:rsidRPr="00300E7B" w:rsidRDefault="00F803B7" w:rsidP="00D570A4">
            <w:pPr>
              <w:jc w:val="center"/>
              <w:rPr>
                <w:rFonts w:cs="Arial"/>
              </w:rPr>
            </w:pPr>
            <w:r w:rsidRPr="00300E7B">
              <w:rPr>
                <w:rFonts w:cs="Arial"/>
              </w:rPr>
              <w:t>(domestic)</w:t>
            </w:r>
          </w:p>
        </w:tc>
        <w:tc>
          <w:tcPr>
            <w:tcW w:w="1746" w:type="dxa"/>
          </w:tcPr>
          <w:p w14:paraId="0D3AEE18" w14:textId="77777777" w:rsidR="00F803B7" w:rsidRPr="00300E7B" w:rsidRDefault="00F803B7" w:rsidP="00D570A4">
            <w:pPr>
              <w:jc w:val="center"/>
              <w:rPr>
                <w:rFonts w:cs="Arial"/>
              </w:rPr>
            </w:pPr>
            <w:r w:rsidRPr="00300E7B">
              <w:rPr>
                <w:rFonts w:cs="Arial"/>
              </w:rPr>
              <w:t>No. enquiries received</w:t>
            </w:r>
          </w:p>
          <w:p w14:paraId="28CCCC63" w14:textId="77777777" w:rsidR="00F803B7" w:rsidRPr="00300E7B" w:rsidRDefault="00F803B7" w:rsidP="00D570A4">
            <w:pPr>
              <w:jc w:val="center"/>
              <w:rPr>
                <w:rFonts w:cs="Arial"/>
              </w:rPr>
            </w:pPr>
            <w:r w:rsidRPr="00300E7B">
              <w:rPr>
                <w:rFonts w:cs="Arial"/>
              </w:rPr>
              <w:t>(cross-border)</w:t>
            </w:r>
          </w:p>
        </w:tc>
        <w:tc>
          <w:tcPr>
            <w:tcW w:w="1244" w:type="dxa"/>
          </w:tcPr>
          <w:p w14:paraId="53C9B83F" w14:textId="77777777" w:rsidR="00F803B7" w:rsidRPr="00300E7B" w:rsidRDefault="00F803B7" w:rsidP="00D570A4">
            <w:pPr>
              <w:jc w:val="center"/>
              <w:rPr>
                <w:rFonts w:cs="Arial"/>
              </w:rPr>
            </w:pPr>
            <w:r w:rsidRPr="00300E7B">
              <w:rPr>
                <w:rFonts w:cs="Arial"/>
              </w:rPr>
              <w:t>No. disputes received</w:t>
            </w:r>
          </w:p>
          <w:p w14:paraId="7CAE3142" w14:textId="77777777" w:rsidR="00F803B7" w:rsidRPr="00300E7B" w:rsidRDefault="00F803B7" w:rsidP="00D570A4">
            <w:pPr>
              <w:rPr>
                <w:rFonts w:cs="Arial"/>
              </w:rPr>
            </w:pPr>
            <w:r w:rsidRPr="00300E7B">
              <w:rPr>
                <w:rFonts w:cs="Arial"/>
              </w:rPr>
              <w:t>(domestic)</w:t>
            </w:r>
          </w:p>
        </w:tc>
        <w:tc>
          <w:tcPr>
            <w:tcW w:w="1676" w:type="dxa"/>
          </w:tcPr>
          <w:p w14:paraId="41A4B227" w14:textId="77777777" w:rsidR="00F803B7" w:rsidRPr="00300E7B" w:rsidRDefault="00F803B7" w:rsidP="00D570A4">
            <w:pPr>
              <w:jc w:val="center"/>
              <w:rPr>
                <w:rFonts w:cs="Arial"/>
              </w:rPr>
            </w:pPr>
            <w:r w:rsidRPr="00300E7B">
              <w:rPr>
                <w:rFonts w:cs="Arial"/>
              </w:rPr>
              <w:t>No. disputes received</w:t>
            </w:r>
          </w:p>
          <w:p w14:paraId="665361B3" w14:textId="77777777" w:rsidR="00F803B7" w:rsidRPr="00300E7B" w:rsidRDefault="00F803B7" w:rsidP="00D570A4">
            <w:pPr>
              <w:jc w:val="center"/>
              <w:rPr>
                <w:rFonts w:cs="Arial"/>
              </w:rPr>
            </w:pPr>
            <w:r w:rsidRPr="00300E7B">
              <w:rPr>
                <w:rFonts w:cs="Arial"/>
              </w:rPr>
              <w:t>(cross-border)</w:t>
            </w:r>
          </w:p>
        </w:tc>
        <w:tc>
          <w:tcPr>
            <w:tcW w:w="1243" w:type="dxa"/>
          </w:tcPr>
          <w:p w14:paraId="27D80092" w14:textId="77777777" w:rsidR="00F803B7" w:rsidRPr="00300E7B" w:rsidRDefault="00F803B7" w:rsidP="00D570A4">
            <w:pPr>
              <w:jc w:val="center"/>
              <w:rPr>
                <w:rFonts w:cs="Arial"/>
              </w:rPr>
            </w:pPr>
            <w:r w:rsidRPr="00300E7B">
              <w:rPr>
                <w:rFonts w:cs="Arial"/>
              </w:rPr>
              <w:t>No. disputes accepted</w:t>
            </w:r>
          </w:p>
          <w:p w14:paraId="249AB423" w14:textId="77777777" w:rsidR="00F803B7" w:rsidRPr="00300E7B" w:rsidRDefault="00F803B7" w:rsidP="00D570A4">
            <w:pPr>
              <w:rPr>
                <w:rFonts w:cs="Arial"/>
              </w:rPr>
            </w:pPr>
            <w:r w:rsidRPr="00300E7B">
              <w:rPr>
                <w:rFonts w:cs="Arial"/>
              </w:rPr>
              <w:t>(domestic)</w:t>
            </w:r>
          </w:p>
        </w:tc>
        <w:tc>
          <w:tcPr>
            <w:tcW w:w="1734" w:type="dxa"/>
          </w:tcPr>
          <w:p w14:paraId="5DFD670C" w14:textId="77777777" w:rsidR="00F803B7" w:rsidRPr="00300E7B" w:rsidRDefault="00F803B7" w:rsidP="00D570A4">
            <w:pPr>
              <w:jc w:val="center"/>
              <w:rPr>
                <w:rFonts w:cs="Arial"/>
              </w:rPr>
            </w:pPr>
            <w:r w:rsidRPr="00300E7B">
              <w:rPr>
                <w:rFonts w:cs="Arial"/>
              </w:rPr>
              <w:t>No. disputes accepted</w:t>
            </w:r>
          </w:p>
          <w:p w14:paraId="5D672A5F" w14:textId="77777777" w:rsidR="00F803B7" w:rsidRPr="00300E7B" w:rsidRDefault="00F803B7" w:rsidP="00D570A4">
            <w:pPr>
              <w:jc w:val="center"/>
              <w:rPr>
                <w:rFonts w:cs="Arial"/>
              </w:rPr>
            </w:pPr>
            <w:r w:rsidRPr="00300E7B">
              <w:rPr>
                <w:rFonts w:cs="Arial"/>
              </w:rPr>
              <w:t>(cross-border)</w:t>
            </w:r>
          </w:p>
        </w:tc>
      </w:tr>
      <w:tr w:rsidR="00F803B7" w:rsidRPr="00300E7B" w14:paraId="44083992" w14:textId="77777777" w:rsidTr="00D570A4">
        <w:trPr>
          <w:trHeight w:val="562"/>
        </w:trPr>
        <w:tc>
          <w:tcPr>
            <w:tcW w:w="1283" w:type="dxa"/>
          </w:tcPr>
          <w:p w14:paraId="53EBB02E" w14:textId="682CB758" w:rsidR="00F803B7" w:rsidRPr="00300E7B" w:rsidRDefault="00571227" w:rsidP="00D570A4">
            <w:pPr>
              <w:jc w:val="center"/>
              <w:rPr>
                <w:rFonts w:cs="Arial"/>
              </w:rPr>
            </w:pPr>
            <w:r>
              <w:rPr>
                <w:rFonts w:cs="Arial"/>
              </w:rPr>
              <w:t>33469</w:t>
            </w:r>
          </w:p>
        </w:tc>
        <w:tc>
          <w:tcPr>
            <w:tcW w:w="1746" w:type="dxa"/>
          </w:tcPr>
          <w:p w14:paraId="13D2ADBB" w14:textId="60F6318C" w:rsidR="00F803B7" w:rsidRPr="00300E7B" w:rsidRDefault="00C56A29" w:rsidP="00D570A4">
            <w:pPr>
              <w:jc w:val="center"/>
              <w:rPr>
                <w:rFonts w:cs="Arial"/>
              </w:rPr>
            </w:pPr>
            <w:r w:rsidRPr="00300E7B">
              <w:rPr>
                <w:rFonts w:cs="Arial"/>
              </w:rPr>
              <w:t>3</w:t>
            </w:r>
            <w:r w:rsidR="00B1052F" w:rsidRPr="00300E7B">
              <w:rPr>
                <w:rFonts w:cs="Arial"/>
              </w:rPr>
              <w:t>0</w:t>
            </w:r>
          </w:p>
        </w:tc>
        <w:tc>
          <w:tcPr>
            <w:tcW w:w="1244" w:type="dxa"/>
          </w:tcPr>
          <w:p w14:paraId="145F8A52" w14:textId="563ED542" w:rsidR="00F803B7" w:rsidRPr="00300E7B" w:rsidRDefault="00300E7B" w:rsidP="00D570A4">
            <w:pPr>
              <w:jc w:val="center"/>
              <w:rPr>
                <w:rFonts w:cs="Arial"/>
              </w:rPr>
            </w:pPr>
            <w:r w:rsidRPr="00300E7B">
              <w:rPr>
                <w:rFonts w:cs="Arial"/>
              </w:rPr>
              <w:t>11691</w:t>
            </w:r>
          </w:p>
        </w:tc>
        <w:tc>
          <w:tcPr>
            <w:tcW w:w="1676" w:type="dxa"/>
          </w:tcPr>
          <w:p w14:paraId="304A25C9" w14:textId="00595FCA" w:rsidR="00F803B7" w:rsidRPr="00300E7B" w:rsidRDefault="0049337C" w:rsidP="00D570A4">
            <w:pPr>
              <w:jc w:val="center"/>
              <w:rPr>
                <w:rFonts w:cs="Arial"/>
              </w:rPr>
            </w:pPr>
            <w:r>
              <w:rPr>
                <w:rFonts w:cs="Arial"/>
              </w:rPr>
              <w:t>0</w:t>
            </w:r>
          </w:p>
        </w:tc>
        <w:tc>
          <w:tcPr>
            <w:tcW w:w="1243" w:type="dxa"/>
          </w:tcPr>
          <w:p w14:paraId="27985A20" w14:textId="28A350A8" w:rsidR="00F803B7" w:rsidRPr="00300E7B" w:rsidRDefault="00B1052F" w:rsidP="00D570A4">
            <w:pPr>
              <w:jc w:val="center"/>
              <w:rPr>
                <w:rFonts w:cs="Arial"/>
              </w:rPr>
            </w:pPr>
            <w:r w:rsidRPr="00300E7B">
              <w:rPr>
                <w:rFonts w:cs="Arial"/>
              </w:rPr>
              <w:t>7673</w:t>
            </w:r>
          </w:p>
        </w:tc>
        <w:tc>
          <w:tcPr>
            <w:tcW w:w="1734" w:type="dxa"/>
          </w:tcPr>
          <w:p w14:paraId="1AC649C1" w14:textId="79F19ABC" w:rsidR="00F803B7" w:rsidRPr="00300E7B" w:rsidRDefault="0049337C" w:rsidP="00D570A4">
            <w:pPr>
              <w:jc w:val="center"/>
              <w:rPr>
                <w:rFonts w:cs="Arial"/>
              </w:rPr>
            </w:pPr>
            <w:r>
              <w:rPr>
                <w:rFonts w:cs="Arial"/>
              </w:rPr>
              <w:t>0</w:t>
            </w:r>
          </w:p>
        </w:tc>
      </w:tr>
    </w:tbl>
    <w:p w14:paraId="324B142C" w14:textId="77777777" w:rsidR="00571227" w:rsidRDefault="00571227" w:rsidP="00532E5D">
      <w:pPr>
        <w:spacing w:line="240" w:lineRule="auto"/>
        <w:rPr>
          <w:rFonts w:cs="Arial"/>
          <w:b/>
          <w:bCs/>
        </w:rPr>
      </w:pPr>
    </w:p>
    <w:p w14:paraId="3BCCC64B" w14:textId="6EBB3203" w:rsidR="00AE4414" w:rsidRPr="00300E7B" w:rsidRDefault="00F803B7" w:rsidP="00532E5D">
      <w:pPr>
        <w:spacing w:line="240" w:lineRule="auto"/>
        <w:rPr>
          <w:rFonts w:cs="Arial"/>
          <w:b/>
          <w:bCs/>
        </w:rPr>
      </w:pPr>
      <w:r w:rsidRPr="00300E7B">
        <w:rPr>
          <w:rFonts w:cs="Arial"/>
          <w:b/>
          <w:bCs/>
        </w:rPr>
        <w:t xml:space="preserve">Types of disputes: </w:t>
      </w:r>
    </w:p>
    <w:p w14:paraId="25B9A741" w14:textId="77777777" w:rsidR="000979F0" w:rsidRPr="00300E7B" w:rsidRDefault="000979F0" w:rsidP="000979F0">
      <w:pPr>
        <w:spacing w:line="240" w:lineRule="auto"/>
      </w:pPr>
      <w:r w:rsidRPr="00300E7B">
        <w:t>TMO operates four Codes of Practice:</w:t>
      </w:r>
    </w:p>
    <w:p w14:paraId="5E523184" w14:textId="77777777" w:rsidR="000979F0" w:rsidRPr="00300E7B" w:rsidRDefault="000979F0" w:rsidP="000979F0">
      <w:pPr>
        <w:pStyle w:val="ListParagraph"/>
        <w:numPr>
          <w:ilvl w:val="0"/>
          <w:numId w:val="7"/>
        </w:numPr>
        <w:spacing w:line="240" w:lineRule="auto"/>
        <w:rPr>
          <w:rFonts w:cs="Arial"/>
        </w:rPr>
      </w:pPr>
      <w:r w:rsidRPr="00300E7B">
        <w:t>the Code of Practice for New Cars, covering manufacturers’ warranties;</w:t>
      </w:r>
    </w:p>
    <w:p w14:paraId="12428B0B" w14:textId="77777777" w:rsidR="000979F0" w:rsidRPr="00300E7B" w:rsidRDefault="000979F0" w:rsidP="000979F0">
      <w:pPr>
        <w:pStyle w:val="ListParagraph"/>
        <w:numPr>
          <w:ilvl w:val="0"/>
          <w:numId w:val="7"/>
        </w:numPr>
        <w:spacing w:line="240" w:lineRule="auto"/>
        <w:rPr>
          <w:rFonts w:cs="Arial"/>
        </w:rPr>
      </w:pPr>
      <w:r w:rsidRPr="00300E7B">
        <w:t>the Code of Practice for Vehicle Warranty Products, covering extended warranties and other types of protection policies;</w:t>
      </w:r>
    </w:p>
    <w:p w14:paraId="1DDCE2AA" w14:textId="77777777" w:rsidR="000979F0" w:rsidRPr="00300E7B" w:rsidRDefault="000979F0" w:rsidP="000979F0">
      <w:pPr>
        <w:pStyle w:val="ListParagraph"/>
        <w:numPr>
          <w:ilvl w:val="0"/>
          <w:numId w:val="7"/>
        </w:numPr>
        <w:spacing w:line="240" w:lineRule="auto"/>
        <w:rPr>
          <w:rFonts w:cs="Arial"/>
        </w:rPr>
      </w:pPr>
      <w:r w:rsidRPr="00300E7B">
        <w:t>the Code of Practice for Service and Repair, covering issues ranging from workmanship to the booking process;</w:t>
      </w:r>
    </w:p>
    <w:p w14:paraId="3DF05A0A" w14:textId="77777777" w:rsidR="000979F0" w:rsidRPr="00300E7B" w:rsidRDefault="000979F0" w:rsidP="000979F0">
      <w:pPr>
        <w:pStyle w:val="ListParagraph"/>
        <w:numPr>
          <w:ilvl w:val="0"/>
          <w:numId w:val="7"/>
        </w:numPr>
        <w:spacing w:line="240" w:lineRule="auto"/>
        <w:rPr>
          <w:rFonts w:cs="Arial"/>
        </w:rPr>
      </w:pPr>
      <w:r w:rsidRPr="00300E7B">
        <w:t>the Code of Practice for Vehicle Sales, covering everything from the sales process to the quality of the vehicle, be it new or used.</w:t>
      </w:r>
    </w:p>
    <w:p w14:paraId="48BB1A02" w14:textId="77777777" w:rsidR="000979F0" w:rsidRPr="00300E7B" w:rsidRDefault="000979F0" w:rsidP="000979F0">
      <w:pPr>
        <w:spacing w:line="240" w:lineRule="auto"/>
        <w:rPr>
          <w:rFonts w:cs="Arial"/>
        </w:rPr>
      </w:pPr>
      <w:r w:rsidRPr="00300E7B">
        <w:rPr>
          <w:rFonts w:cs="Arial"/>
        </w:rPr>
        <w:t>The below shows how many unique enquiries and disputes were logged for each Code:</w:t>
      </w:r>
    </w:p>
    <w:tbl>
      <w:tblPr>
        <w:tblStyle w:val="TableGrid"/>
        <w:tblW w:w="9493" w:type="dxa"/>
        <w:tblLook w:val="04A0" w:firstRow="1" w:lastRow="0" w:firstColumn="1" w:lastColumn="0" w:noHBand="0" w:noVBand="1"/>
      </w:tblPr>
      <w:tblGrid>
        <w:gridCol w:w="3823"/>
        <w:gridCol w:w="1417"/>
        <w:gridCol w:w="1418"/>
        <w:gridCol w:w="1417"/>
        <w:gridCol w:w="1418"/>
      </w:tblGrid>
      <w:tr w:rsidR="000979F0" w:rsidRPr="00300E7B" w14:paraId="67001506" w14:textId="77777777" w:rsidTr="00A22759">
        <w:tc>
          <w:tcPr>
            <w:tcW w:w="3823" w:type="dxa"/>
          </w:tcPr>
          <w:p w14:paraId="4CE1998A" w14:textId="77777777" w:rsidR="000979F0" w:rsidRPr="00300E7B" w:rsidRDefault="000979F0" w:rsidP="00A22759">
            <w:pPr>
              <w:jc w:val="center"/>
              <w:rPr>
                <w:rFonts w:cs="Arial"/>
                <w:b/>
                <w:bCs/>
              </w:rPr>
            </w:pPr>
            <w:r w:rsidRPr="00300E7B">
              <w:rPr>
                <w:rFonts w:cs="Arial"/>
                <w:b/>
                <w:bCs/>
              </w:rPr>
              <w:t>Code</w:t>
            </w:r>
          </w:p>
        </w:tc>
        <w:tc>
          <w:tcPr>
            <w:tcW w:w="1417" w:type="dxa"/>
          </w:tcPr>
          <w:p w14:paraId="05CC22AC" w14:textId="77777777" w:rsidR="000979F0" w:rsidRPr="00300E7B" w:rsidRDefault="000979F0" w:rsidP="00A22759">
            <w:pPr>
              <w:jc w:val="center"/>
              <w:rPr>
                <w:rFonts w:cs="Arial"/>
                <w:b/>
                <w:bCs/>
              </w:rPr>
            </w:pPr>
            <w:r w:rsidRPr="00300E7B">
              <w:rPr>
                <w:rFonts w:cs="Arial"/>
                <w:b/>
                <w:bCs/>
              </w:rPr>
              <w:t>No. of domestic enquiries</w:t>
            </w:r>
          </w:p>
        </w:tc>
        <w:tc>
          <w:tcPr>
            <w:tcW w:w="1418" w:type="dxa"/>
          </w:tcPr>
          <w:p w14:paraId="035AC44E" w14:textId="77777777" w:rsidR="000979F0" w:rsidRPr="00300E7B" w:rsidRDefault="000979F0" w:rsidP="00A22759">
            <w:pPr>
              <w:jc w:val="center"/>
              <w:rPr>
                <w:rFonts w:cs="Arial"/>
                <w:b/>
                <w:bCs/>
              </w:rPr>
            </w:pPr>
            <w:r w:rsidRPr="00300E7B">
              <w:rPr>
                <w:rFonts w:cs="Arial"/>
                <w:b/>
                <w:bCs/>
              </w:rPr>
              <w:t>No. of cross-border enquiries</w:t>
            </w:r>
          </w:p>
        </w:tc>
        <w:tc>
          <w:tcPr>
            <w:tcW w:w="1417" w:type="dxa"/>
          </w:tcPr>
          <w:p w14:paraId="4C299111" w14:textId="77777777" w:rsidR="000979F0" w:rsidRPr="00300E7B" w:rsidRDefault="000979F0" w:rsidP="00A22759">
            <w:pPr>
              <w:jc w:val="center"/>
              <w:rPr>
                <w:rFonts w:cs="Arial"/>
                <w:b/>
                <w:bCs/>
              </w:rPr>
            </w:pPr>
            <w:r w:rsidRPr="00300E7B">
              <w:rPr>
                <w:rFonts w:cs="Arial"/>
                <w:b/>
                <w:bCs/>
              </w:rPr>
              <w:t>No. of domestic disputes</w:t>
            </w:r>
          </w:p>
        </w:tc>
        <w:tc>
          <w:tcPr>
            <w:tcW w:w="1418" w:type="dxa"/>
          </w:tcPr>
          <w:p w14:paraId="71AF23DF" w14:textId="77777777" w:rsidR="000979F0" w:rsidRPr="00300E7B" w:rsidRDefault="000979F0" w:rsidP="00A22759">
            <w:pPr>
              <w:jc w:val="center"/>
              <w:rPr>
                <w:rFonts w:cs="Arial"/>
                <w:b/>
                <w:bCs/>
              </w:rPr>
            </w:pPr>
            <w:r w:rsidRPr="00300E7B">
              <w:rPr>
                <w:rFonts w:cs="Arial"/>
                <w:b/>
                <w:bCs/>
              </w:rPr>
              <w:t>No. of cross-border disputes</w:t>
            </w:r>
          </w:p>
        </w:tc>
      </w:tr>
      <w:tr w:rsidR="000979F0" w:rsidRPr="00300E7B" w14:paraId="1B583757" w14:textId="77777777" w:rsidTr="00A22759">
        <w:tc>
          <w:tcPr>
            <w:tcW w:w="3823" w:type="dxa"/>
          </w:tcPr>
          <w:p w14:paraId="0933807E" w14:textId="77777777" w:rsidR="000979F0" w:rsidRPr="00300E7B" w:rsidRDefault="000979F0" w:rsidP="00A22759">
            <w:pPr>
              <w:rPr>
                <w:rFonts w:cs="Arial"/>
                <w:b/>
                <w:bCs/>
              </w:rPr>
            </w:pPr>
            <w:r w:rsidRPr="00300E7B">
              <w:rPr>
                <w:rFonts w:cs="Arial"/>
                <w:b/>
                <w:bCs/>
              </w:rPr>
              <w:t>New Car Code</w:t>
            </w:r>
          </w:p>
        </w:tc>
        <w:tc>
          <w:tcPr>
            <w:tcW w:w="1417" w:type="dxa"/>
          </w:tcPr>
          <w:p w14:paraId="17D5182D" w14:textId="408593B4" w:rsidR="000979F0" w:rsidRPr="00300E7B" w:rsidRDefault="00571227" w:rsidP="00A22759">
            <w:pPr>
              <w:rPr>
                <w:rFonts w:cs="Arial"/>
              </w:rPr>
            </w:pPr>
            <w:r>
              <w:rPr>
                <w:rFonts w:cs="Arial"/>
              </w:rPr>
              <w:t>5400</w:t>
            </w:r>
          </w:p>
        </w:tc>
        <w:tc>
          <w:tcPr>
            <w:tcW w:w="1418" w:type="dxa"/>
          </w:tcPr>
          <w:p w14:paraId="650D24E0" w14:textId="59962D99" w:rsidR="000979F0" w:rsidRPr="00300E7B" w:rsidRDefault="00B1052F" w:rsidP="00A22759">
            <w:pPr>
              <w:rPr>
                <w:rFonts w:cs="Arial"/>
              </w:rPr>
            </w:pPr>
            <w:r w:rsidRPr="00300E7B">
              <w:rPr>
                <w:rFonts w:cs="Arial"/>
              </w:rPr>
              <w:t>4</w:t>
            </w:r>
          </w:p>
        </w:tc>
        <w:tc>
          <w:tcPr>
            <w:tcW w:w="1417" w:type="dxa"/>
          </w:tcPr>
          <w:p w14:paraId="444C9DDC" w14:textId="526AFE59" w:rsidR="000979F0" w:rsidRPr="00300E7B" w:rsidRDefault="00571227" w:rsidP="00A22759">
            <w:pPr>
              <w:rPr>
                <w:rFonts w:cs="Arial"/>
              </w:rPr>
            </w:pPr>
            <w:r>
              <w:rPr>
                <w:rFonts w:cs="Arial"/>
              </w:rPr>
              <w:t>1625</w:t>
            </w:r>
          </w:p>
        </w:tc>
        <w:tc>
          <w:tcPr>
            <w:tcW w:w="1418" w:type="dxa"/>
          </w:tcPr>
          <w:p w14:paraId="4A50DDC2" w14:textId="77777777" w:rsidR="000979F0" w:rsidRPr="00300E7B" w:rsidRDefault="000979F0" w:rsidP="00A22759">
            <w:pPr>
              <w:rPr>
                <w:rFonts w:cs="Arial"/>
              </w:rPr>
            </w:pPr>
            <w:r w:rsidRPr="00300E7B">
              <w:rPr>
                <w:rFonts w:cs="Arial"/>
              </w:rPr>
              <w:t>0</w:t>
            </w:r>
          </w:p>
        </w:tc>
      </w:tr>
      <w:tr w:rsidR="000979F0" w:rsidRPr="00300E7B" w14:paraId="2B4DBB38" w14:textId="77777777" w:rsidTr="00A22759">
        <w:tc>
          <w:tcPr>
            <w:tcW w:w="3823" w:type="dxa"/>
          </w:tcPr>
          <w:p w14:paraId="224FD29C" w14:textId="77777777" w:rsidR="000979F0" w:rsidRPr="00300E7B" w:rsidRDefault="000979F0" w:rsidP="00A22759">
            <w:pPr>
              <w:rPr>
                <w:rFonts w:cs="Arial"/>
                <w:b/>
                <w:bCs/>
              </w:rPr>
            </w:pPr>
            <w:r w:rsidRPr="00300E7B">
              <w:rPr>
                <w:rFonts w:cs="Arial"/>
                <w:b/>
                <w:bCs/>
              </w:rPr>
              <w:t>Vehicle Warranty Products Code</w:t>
            </w:r>
          </w:p>
        </w:tc>
        <w:tc>
          <w:tcPr>
            <w:tcW w:w="1417" w:type="dxa"/>
          </w:tcPr>
          <w:p w14:paraId="6B4F6184" w14:textId="72A8609A" w:rsidR="000979F0" w:rsidRPr="00300E7B" w:rsidRDefault="00571227" w:rsidP="00A22759">
            <w:pPr>
              <w:rPr>
                <w:rFonts w:cs="Arial"/>
              </w:rPr>
            </w:pPr>
            <w:r>
              <w:rPr>
                <w:rFonts w:cs="Arial"/>
              </w:rPr>
              <w:t>1081</w:t>
            </w:r>
          </w:p>
        </w:tc>
        <w:tc>
          <w:tcPr>
            <w:tcW w:w="1418" w:type="dxa"/>
          </w:tcPr>
          <w:p w14:paraId="5F5D03A8" w14:textId="1F69D10B" w:rsidR="000979F0" w:rsidRPr="00300E7B" w:rsidRDefault="00571227" w:rsidP="00A22759">
            <w:pPr>
              <w:rPr>
                <w:rFonts w:cs="Arial"/>
              </w:rPr>
            </w:pPr>
            <w:r>
              <w:rPr>
                <w:rFonts w:cs="Arial"/>
              </w:rPr>
              <w:t>0</w:t>
            </w:r>
          </w:p>
        </w:tc>
        <w:tc>
          <w:tcPr>
            <w:tcW w:w="1417" w:type="dxa"/>
          </w:tcPr>
          <w:p w14:paraId="0E6223DE" w14:textId="2480498A" w:rsidR="000979F0" w:rsidRPr="00300E7B" w:rsidRDefault="00571227" w:rsidP="00A22759">
            <w:pPr>
              <w:rPr>
                <w:rFonts w:cs="Arial"/>
              </w:rPr>
            </w:pPr>
            <w:r>
              <w:rPr>
                <w:rFonts w:cs="Arial"/>
              </w:rPr>
              <w:t>474</w:t>
            </w:r>
          </w:p>
        </w:tc>
        <w:tc>
          <w:tcPr>
            <w:tcW w:w="1418" w:type="dxa"/>
          </w:tcPr>
          <w:p w14:paraId="6606BB56" w14:textId="77777777" w:rsidR="000979F0" w:rsidRPr="00300E7B" w:rsidRDefault="000979F0" w:rsidP="00A22759">
            <w:pPr>
              <w:rPr>
                <w:rFonts w:cs="Arial"/>
              </w:rPr>
            </w:pPr>
            <w:r w:rsidRPr="00300E7B">
              <w:rPr>
                <w:rFonts w:cs="Arial"/>
              </w:rPr>
              <w:t>0</w:t>
            </w:r>
          </w:p>
        </w:tc>
      </w:tr>
      <w:tr w:rsidR="000979F0" w:rsidRPr="00300E7B" w14:paraId="200F596E" w14:textId="77777777" w:rsidTr="00A22759">
        <w:tc>
          <w:tcPr>
            <w:tcW w:w="3823" w:type="dxa"/>
          </w:tcPr>
          <w:p w14:paraId="6014192D" w14:textId="77777777" w:rsidR="000979F0" w:rsidRPr="00300E7B" w:rsidRDefault="000979F0" w:rsidP="00A22759">
            <w:pPr>
              <w:rPr>
                <w:rFonts w:cs="Arial"/>
                <w:b/>
                <w:bCs/>
              </w:rPr>
            </w:pPr>
            <w:r w:rsidRPr="00300E7B">
              <w:rPr>
                <w:rFonts w:cs="Arial"/>
                <w:b/>
                <w:bCs/>
              </w:rPr>
              <w:t>Service and Repair Code</w:t>
            </w:r>
          </w:p>
        </w:tc>
        <w:tc>
          <w:tcPr>
            <w:tcW w:w="1417" w:type="dxa"/>
          </w:tcPr>
          <w:p w14:paraId="7E16B846" w14:textId="460970F4" w:rsidR="000979F0" w:rsidRPr="00300E7B" w:rsidRDefault="00571227" w:rsidP="00A22759">
            <w:pPr>
              <w:rPr>
                <w:rFonts w:cs="Arial"/>
              </w:rPr>
            </w:pPr>
            <w:r>
              <w:rPr>
                <w:rFonts w:cs="Arial"/>
              </w:rPr>
              <w:t>14250</w:t>
            </w:r>
          </w:p>
        </w:tc>
        <w:tc>
          <w:tcPr>
            <w:tcW w:w="1418" w:type="dxa"/>
          </w:tcPr>
          <w:p w14:paraId="48A848F8" w14:textId="49D35748" w:rsidR="000979F0" w:rsidRPr="00300E7B" w:rsidRDefault="000979F0" w:rsidP="00A22759">
            <w:pPr>
              <w:rPr>
                <w:rFonts w:cs="Arial"/>
              </w:rPr>
            </w:pPr>
            <w:r w:rsidRPr="00300E7B">
              <w:rPr>
                <w:rFonts w:cs="Arial"/>
              </w:rPr>
              <w:t>1</w:t>
            </w:r>
            <w:r w:rsidR="00571227">
              <w:rPr>
                <w:rFonts w:cs="Arial"/>
              </w:rPr>
              <w:t>2</w:t>
            </w:r>
          </w:p>
        </w:tc>
        <w:tc>
          <w:tcPr>
            <w:tcW w:w="1417" w:type="dxa"/>
          </w:tcPr>
          <w:p w14:paraId="7B042F87" w14:textId="72CE4916" w:rsidR="000979F0" w:rsidRPr="00300E7B" w:rsidRDefault="00571227" w:rsidP="00A22759">
            <w:pPr>
              <w:rPr>
                <w:rFonts w:cs="Arial"/>
              </w:rPr>
            </w:pPr>
            <w:r>
              <w:rPr>
                <w:rFonts w:cs="Arial"/>
              </w:rPr>
              <w:t>1935</w:t>
            </w:r>
          </w:p>
        </w:tc>
        <w:tc>
          <w:tcPr>
            <w:tcW w:w="1418" w:type="dxa"/>
          </w:tcPr>
          <w:p w14:paraId="6AA03B49" w14:textId="77777777" w:rsidR="000979F0" w:rsidRPr="00300E7B" w:rsidRDefault="000979F0" w:rsidP="00A22759">
            <w:pPr>
              <w:rPr>
                <w:rFonts w:cs="Arial"/>
              </w:rPr>
            </w:pPr>
            <w:r w:rsidRPr="00300E7B">
              <w:rPr>
                <w:rFonts w:cs="Arial"/>
              </w:rPr>
              <w:t>0</w:t>
            </w:r>
          </w:p>
        </w:tc>
      </w:tr>
      <w:tr w:rsidR="000979F0" w14:paraId="0F6A8449" w14:textId="77777777" w:rsidTr="00A22759">
        <w:tc>
          <w:tcPr>
            <w:tcW w:w="3823" w:type="dxa"/>
          </w:tcPr>
          <w:p w14:paraId="07E698BF" w14:textId="77777777" w:rsidR="000979F0" w:rsidRPr="00300E7B" w:rsidRDefault="000979F0" w:rsidP="00A22759">
            <w:pPr>
              <w:rPr>
                <w:rFonts w:cs="Arial"/>
                <w:b/>
                <w:bCs/>
              </w:rPr>
            </w:pPr>
            <w:r w:rsidRPr="00300E7B">
              <w:rPr>
                <w:rFonts w:cs="Arial"/>
                <w:b/>
                <w:bCs/>
              </w:rPr>
              <w:t>Sales Code</w:t>
            </w:r>
          </w:p>
        </w:tc>
        <w:tc>
          <w:tcPr>
            <w:tcW w:w="1417" w:type="dxa"/>
          </w:tcPr>
          <w:p w14:paraId="347E8B50" w14:textId="5F022065" w:rsidR="000979F0" w:rsidRPr="00300E7B" w:rsidRDefault="00571227" w:rsidP="00A22759">
            <w:pPr>
              <w:rPr>
                <w:rFonts w:cs="Arial"/>
              </w:rPr>
            </w:pPr>
            <w:r>
              <w:rPr>
                <w:rFonts w:cs="Arial"/>
              </w:rPr>
              <w:t>16726</w:t>
            </w:r>
          </w:p>
        </w:tc>
        <w:tc>
          <w:tcPr>
            <w:tcW w:w="1418" w:type="dxa"/>
          </w:tcPr>
          <w:p w14:paraId="75B3512E" w14:textId="5E6A342F" w:rsidR="000979F0" w:rsidRPr="00300E7B" w:rsidRDefault="00B1052F" w:rsidP="00A22759">
            <w:pPr>
              <w:rPr>
                <w:rFonts w:cs="Arial"/>
              </w:rPr>
            </w:pPr>
            <w:r w:rsidRPr="00300E7B">
              <w:rPr>
                <w:rFonts w:cs="Arial"/>
              </w:rPr>
              <w:t>1</w:t>
            </w:r>
            <w:r w:rsidR="00571227">
              <w:rPr>
                <w:rFonts w:cs="Arial"/>
              </w:rPr>
              <w:t>2</w:t>
            </w:r>
          </w:p>
        </w:tc>
        <w:tc>
          <w:tcPr>
            <w:tcW w:w="1417" w:type="dxa"/>
          </w:tcPr>
          <w:p w14:paraId="7B3E38BC" w14:textId="3BA60CE9" w:rsidR="000979F0" w:rsidRPr="00300E7B" w:rsidRDefault="00151F4A" w:rsidP="00A22759">
            <w:pPr>
              <w:rPr>
                <w:rFonts w:cs="Arial"/>
              </w:rPr>
            </w:pPr>
            <w:r>
              <w:rPr>
                <w:rFonts w:cs="Arial"/>
              </w:rPr>
              <w:t>3801</w:t>
            </w:r>
          </w:p>
        </w:tc>
        <w:tc>
          <w:tcPr>
            <w:tcW w:w="1418" w:type="dxa"/>
          </w:tcPr>
          <w:p w14:paraId="1D137B36" w14:textId="37FE4055" w:rsidR="000979F0" w:rsidRDefault="005040BD" w:rsidP="00A22759">
            <w:pPr>
              <w:rPr>
                <w:rFonts w:cs="Arial"/>
              </w:rPr>
            </w:pPr>
            <w:r w:rsidRPr="00300E7B">
              <w:rPr>
                <w:rFonts w:cs="Arial"/>
              </w:rPr>
              <w:t>0</w:t>
            </w:r>
          </w:p>
        </w:tc>
      </w:tr>
    </w:tbl>
    <w:p w14:paraId="36142D83" w14:textId="77777777" w:rsidR="00AE4414" w:rsidRDefault="00AE4414" w:rsidP="00532E5D">
      <w:pPr>
        <w:spacing w:line="240" w:lineRule="auto"/>
        <w:rPr>
          <w:rFonts w:cs="Arial"/>
        </w:rPr>
      </w:pPr>
    </w:p>
    <w:p w14:paraId="1F473279" w14:textId="566C94FB" w:rsidR="00163AD4" w:rsidRPr="00CB5B37" w:rsidRDefault="00532E5D" w:rsidP="000202AA">
      <w:pPr>
        <w:pStyle w:val="ListParagraph"/>
        <w:numPr>
          <w:ilvl w:val="0"/>
          <w:numId w:val="2"/>
        </w:numPr>
        <w:spacing w:line="240" w:lineRule="auto"/>
        <w:rPr>
          <w:rFonts w:cs="Arial"/>
          <w:b/>
          <w:bCs/>
          <w:color w:val="00B0F0"/>
        </w:rPr>
      </w:pPr>
      <w:r w:rsidRPr="00CB5B37">
        <w:rPr>
          <w:rFonts w:cs="Arial"/>
          <w:b/>
          <w:bCs/>
          <w:color w:val="00B0F0"/>
        </w:rPr>
        <w:t>the percentage share of alternative dispute resolution procedures which were discontinued before an outcome was reached</w:t>
      </w:r>
      <w:r w:rsidR="000202AA" w:rsidRPr="00CB5B37">
        <w:rPr>
          <w:rFonts w:cs="Arial"/>
          <w:b/>
          <w:bCs/>
          <w:color w:val="00B0F0"/>
        </w:rPr>
        <w:t>:</w:t>
      </w:r>
    </w:p>
    <w:tbl>
      <w:tblPr>
        <w:tblStyle w:val="TableGrid"/>
        <w:tblW w:w="0" w:type="auto"/>
        <w:tblLook w:val="04A0" w:firstRow="1" w:lastRow="0" w:firstColumn="1" w:lastColumn="0" w:noHBand="0" w:noVBand="1"/>
      </w:tblPr>
      <w:tblGrid>
        <w:gridCol w:w="4815"/>
        <w:gridCol w:w="2126"/>
        <w:gridCol w:w="2075"/>
      </w:tblGrid>
      <w:tr w:rsidR="007A3AD7" w14:paraId="6B143432" w14:textId="77777777" w:rsidTr="007A3AD7">
        <w:tc>
          <w:tcPr>
            <w:tcW w:w="4815" w:type="dxa"/>
          </w:tcPr>
          <w:p w14:paraId="57349BA9" w14:textId="2AF3F9B4" w:rsidR="007A3AD7" w:rsidRPr="007A3AD7" w:rsidRDefault="007A3AD7" w:rsidP="00532E5D">
            <w:pPr>
              <w:rPr>
                <w:rFonts w:cs="Arial"/>
                <w:b/>
                <w:bCs/>
              </w:rPr>
            </w:pPr>
            <w:r w:rsidRPr="007A3AD7">
              <w:rPr>
                <w:rFonts w:cs="Arial"/>
                <w:b/>
                <w:bCs/>
              </w:rPr>
              <w:t>Reason</w:t>
            </w:r>
          </w:p>
        </w:tc>
        <w:tc>
          <w:tcPr>
            <w:tcW w:w="2126" w:type="dxa"/>
          </w:tcPr>
          <w:p w14:paraId="18449364" w14:textId="3DBAD0E3" w:rsidR="007A3AD7" w:rsidRPr="007A3AD7" w:rsidRDefault="007A3AD7" w:rsidP="007A3AD7">
            <w:pPr>
              <w:jc w:val="center"/>
              <w:rPr>
                <w:rFonts w:cs="Arial"/>
                <w:b/>
                <w:bCs/>
              </w:rPr>
            </w:pPr>
            <w:r w:rsidRPr="007A3AD7">
              <w:rPr>
                <w:rFonts w:cs="Arial"/>
                <w:b/>
                <w:bCs/>
              </w:rPr>
              <w:t>No. disputes discontinued</w:t>
            </w:r>
          </w:p>
        </w:tc>
        <w:tc>
          <w:tcPr>
            <w:tcW w:w="2075" w:type="dxa"/>
          </w:tcPr>
          <w:p w14:paraId="19D71382" w14:textId="189E4793" w:rsidR="007A3AD7" w:rsidRPr="007A3AD7" w:rsidRDefault="007A3AD7" w:rsidP="007A3AD7">
            <w:pPr>
              <w:jc w:val="center"/>
              <w:rPr>
                <w:rFonts w:cs="Arial"/>
                <w:b/>
                <w:bCs/>
              </w:rPr>
            </w:pPr>
            <w:r w:rsidRPr="007A3AD7">
              <w:rPr>
                <w:rFonts w:cs="Arial"/>
                <w:b/>
                <w:bCs/>
              </w:rPr>
              <w:t>Percentage discontinued</w:t>
            </w:r>
          </w:p>
        </w:tc>
      </w:tr>
      <w:tr w:rsidR="007A3AD7" w14:paraId="08F24F31" w14:textId="77777777" w:rsidTr="007A3AD7">
        <w:tc>
          <w:tcPr>
            <w:tcW w:w="4815" w:type="dxa"/>
          </w:tcPr>
          <w:p w14:paraId="0123576E" w14:textId="420D77FD" w:rsidR="007A3AD7" w:rsidRDefault="007A3AD7" w:rsidP="00532E5D">
            <w:pPr>
              <w:rPr>
                <w:rFonts w:cs="Arial"/>
              </w:rPr>
            </w:pPr>
            <w:r>
              <w:rPr>
                <w:rFonts w:cs="Arial"/>
              </w:rPr>
              <w:t>Rejected for operational reasons</w:t>
            </w:r>
          </w:p>
        </w:tc>
        <w:tc>
          <w:tcPr>
            <w:tcW w:w="2126" w:type="dxa"/>
          </w:tcPr>
          <w:p w14:paraId="43DDD4C7" w14:textId="0A72E7AC" w:rsidR="007A3AD7" w:rsidRDefault="001D3C7F" w:rsidP="00532E5D">
            <w:pPr>
              <w:rPr>
                <w:rFonts w:cs="Arial"/>
              </w:rPr>
            </w:pPr>
            <w:r>
              <w:rPr>
                <w:rFonts w:cs="Arial"/>
              </w:rPr>
              <w:t>0</w:t>
            </w:r>
          </w:p>
        </w:tc>
        <w:tc>
          <w:tcPr>
            <w:tcW w:w="2075" w:type="dxa"/>
          </w:tcPr>
          <w:p w14:paraId="3038AA84" w14:textId="127C052B" w:rsidR="007A3AD7" w:rsidRDefault="001D3C7F" w:rsidP="00532E5D">
            <w:pPr>
              <w:rPr>
                <w:rFonts w:cs="Arial"/>
              </w:rPr>
            </w:pPr>
            <w:r>
              <w:rPr>
                <w:rFonts w:cs="Arial"/>
              </w:rPr>
              <w:t>0%</w:t>
            </w:r>
          </w:p>
        </w:tc>
      </w:tr>
      <w:tr w:rsidR="007A3AD7" w14:paraId="3C7719F4" w14:textId="77777777" w:rsidTr="007A3AD7">
        <w:tc>
          <w:tcPr>
            <w:tcW w:w="4815" w:type="dxa"/>
          </w:tcPr>
          <w:p w14:paraId="52D4B7FB" w14:textId="3AD99DC2" w:rsidR="007A3AD7" w:rsidRDefault="007A3AD7" w:rsidP="007A3AD7">
            <w:pPr>
              <w:rPr>
                <w:rFonts w:cs="Arial"/>
              </w:rPr>
            </w:pPr>
            <w:r>
              <w:rPr>
                <w:rFonts w:cs="Arial"/>
              </w:rPr>
              <w:t>a) the consumer has not attempted to contact the trader first</w:t>
            </w:r>
          </w:p>
        </w:tc>
        <w:tc>
          <w:tcPr>
            <w:tcW w:w="2126" w:type="dxa"/>
          </w:tcPr>
          <w:p w14:paraId="45A30654" w14:textId="022F0514" w:rsidR="007A3AD7" w:rsidRDefault="009347C8" w:rsidP="007A3AD7">
            <w:pPr>
              <w:rPr>
                <w:rFonts w:cs="Arial"/>
              </w:rPr>
            </w:pPr>
            <w:r>
              <w:rPr>
                <w:rFonts w:cs="Arial"/>
              </w:rPr>
              <w:t>470</w:t>
            </w:r>
          </w:p>
        </w:tc>
        <w:tc>
          <w:tcPr>
            <w:tcW w:w="2075" w:type="dxa"/>
          </w:tcPr>
          <w:p w14:paraId="1A369ECF" w14:textId="1E5E8171" w:rsidR="007A3AD7" w:rsidRDefault="009347C8" w:rsidP="007A3AD7">
            <w:pPr>
              <w:rPr>
                <w:rFonts w:cs="Arial"/>
              </w:rPr>
            </w:pPr>
            <w:r>
              <w:rPr>
                <w:rFonts w:cs="Arial"/>
              </w:rPr>
              <w:t>7</w:t>
            </w:r>
            <w:r w:rsidR="000979F0">
              <w:rPr>
                <w:rFonts w:cs="Arial"/>
              </w:rPr>
              <w:t>%</w:t>
            </w:r>
          </w:p>
        </w:tc>
      </w:tr>
      <w:tr w:rsidR="007A3AD7" w14:paraId="2D76F4B1" w14:textId="77777777" w:rsidTr="007A3AD7">
        <w:tc>
          <w:tcPr>
            <w:tcW w:w="4815" w:type="dxa"/>
          </w:tcPr>
          <w:p w14:paraId="402B8CAB" w14:textId="4985EC53" w:rsidR="007A3AD7" w:rsidRDefault="007A3AD7" w:rsidP="007A3AD7">
            <w:pPr>
              <w:rPr>
                <w:rFonts w:cs="Arial"/>
              </w:rPr>
            </w:pPr>
            <w:r>
              <w:rPr>
                <w:rFonts w:cs="Arial"/>
              </w:rPr>
              <w:t xml:space="preserve">b) the dispute was frivolous or vexatious </w:t>
            </w:r>
          </w:p>
        </w:tc>
        <w:tc>
          <w:tcPr>
            <w:tcW w:w="2126" w:type="dxa"/>
          </w:tcPr>
          <w:p w14:paraId="61C04C98" w14:textId="6C580808" w:rsidR="007A3AD7" w:rsidRDefault="009347C8" w:rsidP="007A3AD7">
            <w:pPr>
              <w:rPr>
                <w:rFonts w:cs="Arial"/>
              </w:rPr>
            </w:pPr>
            <w:r>
              <w:rPr>
                <w:rFonts w:cs="Arial"/>
              </w:rPr>
              <w:t>4</w:t>
            </w:r>
          </w:p>
        </w:tc>
        <w:tc>
          <w:tcPr>
            <w:tcW w:w="2075" w:type="dxa"/>
          </w:tcPr>
          <w:p w14:paraId="29474035" w14:textId="380AC816" w:rsidR="007A3AD7" w:rsidRDefault="000979F0" w:rsidP="007A3AD7">
            <w:pPr>
              <w:rPr>
                <w:rFonts w:cs="Arial"/>
              </w:rPr>
            </w:pPr>
            <w:r>
              <w:rPr>
                <w:rFonts w:cs="Arial"/>
              </w:rPr>
              <w:t>0.0</w:t>
            </w:r>
            <w:r w:rsidR="009347C8">
              <w:rPr>
                <w:rFonts w:cs="Arial"/>
              </w:rPr>
              <w:t>6</w:t>
            </w:r>
            <w:r>
              <w:rPr>
                <w:rFonts w:cs="Arial"/>
              </w:rPr>
              <w:t>%</w:t>
            </w:r>
          </w:p>
        </w:tc>
      </w:tr>
      <w:tr w:rsidR="007A3AD7" w14:paraId="151F79F7" w14:textId="77777777" w:rsidTr="007A3AD7">
        <w:tc>
          <w:tcPr>
            <w:tcW w:w="4815" w:type="dxa"/>
          </w:tcPr>
          <w:p w14:paraId="4795F00F" w14:textId="31C8059E" w:rsidR="007A3AD7" w:rsidRDefault="007A3AD7" w:rsidP="007A3AD7">
            <w:pPr>
              <w:rPr>
                <w:rFonts w:cs="Arial"/>
              </w:rPr>
            </w:pPr>
            <w:r>
              <w:rPr>
                <w:rFonts w:cs="Arial"/>
              </w:rPr>
              <w:t>c) the dispute had been previously considered by another ADR body or the court</w:t>
            </w:r>
          </w:p>
        </w:tc>
        <w:tc>
          <w:tcPr>
            <w:tcW w:w="2126" w:type="dxa"/>
          </w:tcPr>
          <w:p w14:paraId="5E274D68" w14:textId="208198E7" w:rsidR="007A3AD7" w:rsidRDefault="009347C8" w:rsidP="007A3AD7">
            <w:pPr>
              <w:rPr>
                <w:rFonts w:cs="Arial"/>
              </w:rPr>
            </w:pPr>
            <w:r>
              <w:rPr>
                <w:rFonts w:cs="Arial"/>
              </w:rPr>
              <w:t>114</w:t>
            </w:r>
          </w:p>
        </w:tc>
        <w:tc>
          <w:tcPr>
            <w:tcW w:w="2075" w:type="dxa"/>
          </w:tcPr>
          <w:p w14:paraId="24D18672" w14:textId="01A4AD34" w:rsidR="007A3AD7" w:rsidRDefault="000979F0" w:rsidP="007A3AD7">
            <w:pPr>
              <w:rPr>
                <w:rFonts w:cs="Arial"/>
              </w:rPr>
            </w:pPr>
            <w:r>
              <w:rPr>
                <w:rFonts w:cs="Arial"/>
              </w:rPr>
              <w:t>1</w:t>
            </w:r>
            <w:r w:rsidR="009347C8">
              <w:rPr>
                <w:rFonts w:cs="Arial"/>
              </w:rPr>
              <w:t>.8</w:t>
            </w:r>
            <w:r>
              <w:rPr>
                <w:rFonts w:cs="Arial"/>
              </w:rPr>
              <w:t>%</w:t>
            </w:r>
          </w:p>
        </w:tc>
      </w:tr>
      <w:tr w:rsidR="007A3AD7" w14:paraId="462258C9" w14:textId="77777777" w:rsidTr="007A3AD7">
        <w:tc>
          <w:tcPr>
            <w:tcW w:w="4815" w:type="dxa"/>
          </w:tcPr>
          <w:p w14:paraId="7396B532" w14:textId="04F25A7E" w:rsidR="007A3AD7" w:rsidRDefault="007A3AD7" w:rsidP="007A3AD7">
            <w:pPr>
              <w:rPr>
                <w:rFonts w:cs="Arial"/>
              </w:rPr>
            </w:pPr>
            <w:r>
              <w:rPr>
                <w:rFonts w:cs="Arial"/>
              </w:rPr>
              <w:t>d) the value fell below the monetary value</w:t>
            </w:r>
            <w:r w:rsidR="001D3C7F">
              <w:rPr>
                <w:rFonts w:cs="Arial"/>
              </w:rPr>
              <w:t xml:space="preserve"> (</w:t>
            </w:r>
            <w:r w:rsidR="009347C8">
              <w:rPr>
                <w:rFonts w:cs="Arial"/>
              </w:rPr>
              <w:t>NB: we do not have a minimum claims limit so this records cases that exceeded it</w:t>
            </w:r>
            <w:r w:rsidR="001D3C7F">
              <w:rPr>
                <w:rFonts w:cs="Arial"/>
              </w:rPr>
              <w:t>)</w:t>
            </w:r>
          </w:p>
        </w:tc>
        <w:tc>
          <w:tcPr>
            <w:tcW w:w="2126" w:type="dxa"/>
          </w:tcPr>
          <w:p w14:paraId="77B22F67" w14:textId="7B727846" w:rsidR="007A3AD7" w:rsidRDefault="009347C8" w:rsidP="007A3AD7">
            <w:pPr>
              <w:rPr>
                <w:rFonts w:cs="Arial"/>
              </w:rPr>
            </w:pPr>
            <w:r>
              <w:rPr>
                <w:rFonts w:cs="Arial"/>
              </w:rPr>
              <w:t>8</w:t>
            </w:r>
          </w:p>
        </w:tc>
        <w:tc>
          <w:tcPr>
            <w:tcW w:w="2075" w:type="dxa"/>
          </w:tcPr>
          <w:p w14:paraId="09D18685" w14:textId="448BE4C6" w:rsidR="007A3AD7" w:rsidRDefault="000979F0" w:rsidP="007A3AD7">
            <w:pPr>
              <w:rPr>
                <w:rFonts w:cs="Arial"/>
              </w:rPr>
            </w:pPr>
            <w:r>
              <w:rPr>
                <w:rFonts w:cs="Arial"/>
              </w:rPr>
              <w:t>0.1%</w:t>
            </w:r>
          </w:p>
        </w:tc>
      </w:tr>
      <w:tr w:rsidR="007A3AD7" w14:paraId="32B714B5" w14:textId="77777777" w:rsidTr="007A3AD7">
        <w:tc>
          <w:tcPr>
            <w:tcW w:w="4815" w:type="dxa"/>
          </w:tcPr>
          <w:p w14:paraId="2EB4E0E6" w14:textId="5F6FB5D9" w:rsidR="007A3AD7" w:rsidRDefault="007A3AD7" w:rsidP="007A3AD7">
            <w:pPr>
              <w:rPr>
                <w:rFonts w:cs="Arial"/>
              </w:rPr>
            </w:pPr>
            <w:r>
              <w:rPr>
                <w:rFonts w:cs="Arial"/>
              </w:rPr>
              <w:t>e) the consumer did not submit the disputes within the time period specified</w:t>
            </w:r>
          </w:p>
        </w:tc>
        <w:tc>
          <w:tcPr>
            <w:tcW w:w="2126" w:type="dxa"/>
          </w:tcPr>
          <w:p w14:paraId="6C24B523" w14:textId="1C09012C" w:rsidR="007A3AD7" w:rsidRDefault="009347C8" w:rsidP="007A3AD7">
            <w:pPr>
              <w:rPr>
                <w:rFonts w:cs="Arial"/>
              </w:rPr>
            </w:pPr>
            <w:r>
              <w:rPr>
                <w:rFonts w:cs="Arial"/>
              </w:rPr>
              <w:t>7</w:t>
            </w:r>
          </w:p>
        </w:tc>
        <w:tc>
          <w:tcPr>
            <w:tcW w:w="2075" w:type="dxa"/>
          </w:tcPr>
          <w:p w14:paraId="5745FAE5" w14:textId="6F40810B" w:rsidR="007A3AD7" w:rsidRDefault="000979F0" w:rsidP="007A3AD7">
            <w:pPr>
              <w:rPr>
                <w:rFonts w:cs="Arial"/>
              </w:rPr>
            </w:pPr>
            <w:r>
              <w:rPr>
                <w:rFonts w:cs="Arial"/>
              </w:rPr>
              <w:t>0.</w:t>
            </w:r>
            <w:r w:rsidR="009347C8">
              <w:rPr>
                <w:rFonts w:cs="Arial"/>
              </w:rPr>
              <w:t>1</w:t>
            </w:r>
            <w:r>
              <w:rPr>
                <w:rFonts w:cs="Arial"/>
              </w:rPr>
              <w:t>%</w:t>
            </w:r>
          </w:p>
        </w:tc>
      </w:tr>
      <w:tr w:rsidR="007A3AD7" w14:paraId="3B10F2D5" w14:textId="77777777" w:rsidTr="007A3AD7">
        <w:tc>
          <w:tcPr>
            <w:tcW w:w="4815" w:type="dxa"/>
          </w:tcPr>
          <w:p w14:paraId="34A244B6" w14:textId="5BA0388C" w:rsidR="007A3AD7" w:rsidRDefault="007A3AD7" w:rsidP="007A3AD7">
            <w:pPr>
              <w:rPr>
                <w:rFonts w:cs="Arial"/>
              </w:rPr>
            </w:pPr>
            <w:r>
              <w:rPr>
                <w:rFonts w:cs="Arial"/>
              </w:rPr>
              <w:t>f) dealing with the dispute would have impaired the operation of the ADR body</w:t>
            </w:r>
          </w:p>
        </w:tc>
        <w:tc>
          <w:tcPr>
            <w:tcW w:w="2126" w:type="dxa"/>
          </w:tcPr>
          <w:p w14:paraId="5032D59B" w14:textId="2173E378" w:rsidR="007A3AD7" w:rsidRDefault="001D3C7F" w:rsidP="007A3AD7">
            <w:pPr>
              <w:rPr>
                <w:rFonts w:cs="Arial"/>
              </w:rPr>
            </w:pPr>
            <w:r>
              <w:rPr>
                <w:rFonts w:cs="Arial"/>
              </w:rPr>
              <w:t>0</w:t>
            </w:r>
          </w:p>
        </w:tc>
        <w:tc>
          <w:tcPr>
            <w:tcW w:w="2075" w:type="dxa"/>
          </w:tcPr>
          <w:p w14:paraId="49396CD5" w14:textId="06AB9E60" w:rsidR="007A3AD7" w:rsidRDefault="000979F0" w:rsidP="007A3AD7">
            <w:pPr>
              <w:rPr>
                <w:rFonts w:cs="Arial"/>
              </w:rPr>
            </w:pPr>
            <w:r>
              <w:rPr>
                <w:rFonts w:cs="Arial"/>
              </w:rPr>
              <w:t>0%</w:t>
            </w:r>
          </w:p>
        </w:tc>
      </w:tr>
      <w:tr w:rsidR="007A3AD7" w14:paraId="022D1CFD" w14:textId="77777777" w:rsidTr="007A3AD7">
        <w:tc>
          <w:tcPr>
            <w:tcW w:w="4815" w:type="dxa"/>
          </w:tcPr>
          <w:p w14:paraId="5EE3ACA0" w14:textId="21593D26" w:rsidR="007A3AD7" w:rsidRDefault="007A3AD7" w:rsidP="007A3AD7">
            <w:pPr>
              <w:rPr>
                <w:rFonts w:cs="Arial"/>
              </w:rPr>
            </w:pPr>
            <w:r>
              <w:rPr>
                <w:rFonts w:cs="Arial"/>
              </w:rPr>
              <w:t>Case withdrawn by consumer</w:t>
            </w:r>
          </w:p>
        </w:tc>
        <w:tc>
          <w:tcPr>
            <w:tcW w:w="2126" w:type="dxa"/>
          </w:tcPr>
          <w:p w14:paraId="5F625C2D" w14:textId="7A64FC6B" w:rsidR="007A3AD7" w:rsidRDefault="000202AA" w:rsidP="007A3AD7">
            <w:pPr>
              <w:rPr>
                <w:rFonts w:cs="Arial"/>
              </w:rPr>
            </w:pPr>
            <w:r>
              <w:rPr>
                <w:rFonts w:cs="Arial"/>
              </w:rPr>
              <w:t>630</w:t>
            </w:r>
          </w:p>
        </w:tc>
        <w:tc>
          <w:tcPr>
            <w:tcW w:w="2075" w:type="dxa"/>
          </w:tcPr>
          <w:p w14:paraId="5B771352" w14:textId="4F1EC4A0" w:rsidR="007A3AD7" w:rsidRDefault="000979F0" w:rsidP="007A3AD7">
            <w:pPr>
              <w:rPr>
                <w:rFonts w:cs="Arial"/>
              </w:rPr>
            </w:pPr>
            <w:r>
              <w:rPr>
                <w:rFonts w:cs="Arial"/>
              </w:rPr>
              <w:t>1</w:t>
            </w:r>
            <w:r w:rsidR="009347C8">
              <w:rPr>
                <w:rFonts w:cs="Arial"/>
              </w:rPr>
              <w:t>0</w:t>
            </w:r>
            <w:r>
              <w:rPr>
                <w:rFonts w:cs="Arial"/>
              </w:rPr>
              <w:t>%</w:t>
            </w:r>
          </w:p>
        </w:tc>
      </w:tr>
      <w:tr w:rsidR="007A3AD7" w14:paraId="504C800E" w14:textId="77777777" w:rsidTr="007A3AD7">
        <w:tc>
          <w:tcPr>
            <w:tcW w:w="4815" w:type="dxa"/>
          </w:tcPr>
          <w:p w14:paraId="1E6158D8" w14:textId="2281FF3E" w:rsidR="007A3AD7" w:rsidRDefault="007A3AD7" w:rsidP="007A3AD7">
            <w:pPr>
              <w:rPr>
                <w:rFonts w:cs="Arial"/>
              </w:rPr>
            </w:pPr>
            <w:r>
              <w:rPr>
                <w:rFonts w:cs="Arial"/>
              </w:rPr>
              <w:t>Case withdrawn by trader</w:t>
            </w:r>
          </w:p>
        </w:tc>
        <w:tc>
          <w:tcPr>
            <w:tcW w:w="2126" w:type="dxa"/>
          </w:tcPr>
          <w:p w14:paraId="179A0C92" w14:textId="75EA30DB" w:rsidR="007A3AD7" w:rsidRDefault="001D3C7F" w:rsidP="007A3AD7">
            <w:pPr>
              <w:rPr>
                <w:rFonts w:cs="Arial"/>
              </w:rPr>
            </w:pPr>
            <w:r>
              <w:rPr>
                <w:rFonts w:cs="Arial"/>
              </w:rPr>
              <w:t>0</w:t>
            </w:r>
          </w:p>
        </w:tc>
        <w:tc>
          <w:tcPr>
            <w:tcW w:w="2075" w:type="dxa"/>
          </w:tcPr>
          <w:p w14:paraId="0BE0F610" w14:textId="3C11945F" w:rsidR="007A3AD7" w:rsidRDefault="000979F0" w:rsidP="007A3AD7">
            <w:pPr>
              <w:rPr>
                <w:rFonts w:cs="Arial"/>
              </w:rPr>
            </w:pPr>
            <w:r>
              <w:rPr>
                <w:rFonts w:cs="Arial"/>
              </w:rPr>
              <w:t>0%</w:t>
            </w:r>
          </w:p>
        </w:tc>
      </w:tr>
      <w:tr w:rsidR="007A3AD7" w14:paraId="7882E648" w14:textId="77777777" w:rsidTr="007A3AD7">
        <w:tc>
          <w:tcPr>
            <w:tcW w:w="4815" w:type="dxa"/>
          </w:tcPr>
          <w:p w14:paraId="21D9746D" w14:textId="2085D454" w:rsidR="007A3AD7" w:rsidRDefault="007A3AD7" w:rsidP="007A3AD7">
            <w:pPr>
              <w:rPr>
                <w:rFonts w:cs="Arial"/>
              </w:rPr>
            </w:pPr>
            <w:r>
              <w:rPr>
                <w:rFonts w:cs="Arial"/>
              </w:rPr>
              <w:t>Solution reached without ADR</w:t>
            </w:r>
          </w:p>
        </w:tc>
        <w:tc>
          <w:tcPr>
            <w:tcW w:w="2126" w:type="dxa"/>
          </w:tcPr>
          <w:p w14:paraId="2E543D2F" w14:textId="439B9AB0" w:rsidR="007A3AD7" w:rsidRDefault="000202AA" w:rsidP="007A3AD7">
            <w:pPr>
              <w:rPr>
                <w:rFonts w:cs="Arial"/>
              </w:rPr>
            </w:pPr>
            <w:r>
              <w:rPr>
                <w:rFonts w:cs="Arial"/>
              </w:rPr>
              <w:t>410</w:t>
            </w:r>
          </w:p>
        </w:tc>
        <w:tc>
          <w:tcPr>
            <w:tcW w:w="2075" w:type="dxa"/>
          </w:tcPr>
          <w:p w14:paraId="70BC07C4" w14:textId="0197F6B5" w:rsidR="007A3AD7" w:rsidRDefault="009347C8" w:rsidP="007A3AD7">
            <w:pPr>
              <w:rPr>
                <w:rFonts w:cs="Arial"/>
              </w:rPr>
            </w:pPr>
            <w:r>
              <w:rPr>
                <w:rFonts w:cs="Arial"/>
              </w:rPr>
              <w:t>6</w:t>
            </w:r>
            <w:r w:rsidR="000979F0">
              <w:rPr>
                <w:rFonts w:cs="Arial"/>
              </w:rPr>
              <w:t>%</w:t>
            </w:r>
          </w:p>
        </w:tc>
      </w:tr>
      <w:tr w:rsidR="007A3AD7" w14:paraId="723DAA32" w14:textId="77777777" w:rsidTr="007A3AD7">
        <w:tc>
          <w:tcPr>
            <w:tcW w:w="4815" w:type="dxa"/>
          </w:tcPr>
          <w:p w14:paraId="50C95091" w14:textId="37312804" w:rsidR="007A3AD7" w:rsidRDefault="007A3AD7" w:rsidP="007A3AD7">
            <w:pPr>
              <w:rPr>
                <w:rFonts w:cs="Arial"/>
              </w:rPr>
            </w:pPr>
            <w:r>
              <w:rPr>
                <w:rFonts w:cs="Arial"/>
              </w:rPr>
              <w:t>The trader was not a member of the ADR scheme (if this is a requirement)</w:t>
            </w:r>
          </w:p>
        </w:tc>
        <w:tc>
          <w:tcPr>
            <w:tcW w:w="2126" w:type="dxa"/>
          </w:tcPr>
          <w:p w14:paraId="5624A09E" w14:textId="18D1B782" w:rsidR="007A3AD7" w:rsidRDefault="001D3C7F" w:rsidP="007A3AD7">
            <w:pPr>
              <w:rPr>
                <w:rFonts w:cs="Arial"/>
              </w:rPr>
            </w:pPr>
            <w:r>
              <w:rPr>
                <w:rFonts w:cs="Arial"/>
              </w:rPr>
              <w:t>4</w:t>
            </w:r>
            <w:r w:rsidR="009347C8">
              <w:rPr>
                <w:rFonts w:cs="Arial"/>
              </w:rPr>
              <w:t>828</w:t>
            </w:r>
          </w:p>
        </w:tc>
        <w:tc>
          <w:tcPr>
            <w:tcW w:w="2075" w:type="dxa"/>
          </w:tcPr>
          <w:p w14:paraId="5632B459" w14:textId="5C68DAA2" w:rsidR="007A3AD7" w:rsidRDefault="000979F0" w:rsidP="007A3AD7">
            <w:pPr>
              <w:rPr>
                <w:rFonts w:cs="Arial"/>
              </w:rPr>
            </w:pPr>
            <w:r>
              <w:rPr>
                <w:rFonts w:cs="Arial"/>
              </w:rPr>
              <w:t>7</w:t>
            </w:r>
            <w:r w:rsidR="009347C8">
              <w:rPr>
                <w:rFonts w:cs="Arial"/>
              </w:rPr>
              <w:t>5</w:t>
            </w:r>
            <w:r>
              <w:rPr>
                <w:rFonts w:cs="Arial"/>
              </w:rPr>
              <w:t>%</w:t>
            </w:r>
          </w:p>
        </w:tc>
      </w:tr>
    </w:tbl>
    <w:p w14:paraId="7588D52A" w14:textId="05D5A426" w:rsidR="00246746" w:rsidRDefault="00246746" w:rsidP="000979F0">
      <w:pPr>
        <w:rPr>
          <w:rFonts w:cs="Arial"/>
        </w:rPr>
      </w:pPr>
    </w:p>
    <w:p w14:paraId="741D9C54" w14:textId="1181D619" w:rsidR="00457469" w:rsidRPr="00CB5B37" w:rsidRDefault="00532E5D" w:rsidP="00CD58A9">
      <w:pPr>
        <w:pStyle w:val="ListParagraph"/>
        <w:numPr>
          <w:ilvl w:val="0"/>
          <w:numId w:val="2"/>
        </w:numPr>
        <w:spacing w:line="240" w:lineRule="auto"/>
        <w:rPr>
          <w:rFonts w:cs="Arial"/>
          <w:b/>
          <w:bCs/>
          <w:color w:val="00B0F0"/>
        </w:rPr>
      </w:pPr>
      <w:r w:rsidRPr="00CB5B37">
        <w:rPr>
          <w:rFonts w:cs="Arial"/>
          <w:b/>
          <w:bCs/>
          <w:color w:val="00B0F0"/>
        </w:rPr>
        <w:t>the average time taken to resolve the disputes which the ADR entity has received</w:t>
      </w:r>
      <w:r w:rsidR="00CD58A9" w:rsidRPr="00CB5B37">
        <w:rPr>
          <w:rFonts w:cs="Arial"/>
          <w:b/>
          <w:bCs/>
          <w:color w:val="00B0F0"/>
        </w:rPr>
        <w:t>:</w:t>
      </w:r>
    </w:p>
    <w:tbl>
      <w:tblPr>
        <w:tblStyle w:val="TableGrid"/>
        <w:tblW w:w="0" w:type="auto"/>
        <w:tblLook w:val="04A0" w:firstRow="1" w:lastRow="0" w:firstColumn="1" w:lastColumn="0" w:noHBand="0" w:noVBand="1"/>
      </w:tblPr>
      <w:tblGrid>
        <w:gridCol w:w="4248"/>
        <w:gridCol w:w="2410"/>
        <w:gridCol w:w="2358"/>
      </w:tblGrid>
      <w:tr w:rsidR="00457469" w14:paraId="746115D0" w14:textId="77777777" w:rsidTr="00D570A4">
        <w:tc>
          <w:tcPr>
            <w:tcW w:w="4248" w:type="dxa"/>
          </w:tcPr>
          <w:p w14:paraId="7FC39718" w14:textId="77777777" w:rsidR="00457469" w:rsidRDefault="00457469" w:rsidP="00D570A4">
            <w:pPr>
              <w:rPr>
                <w:rFonts w:cs="Arial"/>
              </w:rPr>
            </w:pPr>
          </w:p>
        </w:tc>
        <w:tc>
          <w:tcPr>
            <w:tcW w:w="2410" w:type="dxa"/>
          </w:tcPr>
          <w:p w14:paraId="0D8865B0" w14:textId="77777777" w:rsidR="00457469" w:rsidRPr="007B78AA" w:rsidRDefault="00457469" w:rsidP="00D570A4">
            <w:pPr>
              <w:rPr>
                <w:rFonts w:cs="Arial"/>
                <w:b/>
                <w:bCs/>
              </w:rPr>
            </w:pPr>
            <w:r w:rsidRPr="007B78AA">
              <w:rPr>
                <w:rFonts w:cs="Arial"/>
                <w:b/>
                <w:bCs/>
              </w:rPr>
              <w:t>Domestic</w:t>
            </w:r>
          </w:p>
        </w:tc>
        <w:tc>
          <w:tcPr>
            <w:tcW w:w="2358" w:type="dxa"/>
          </w:tcPr>
          <w:p w14:paraId="44B1CF0E" w14:textId="77777777" w:rsidR="00457469" w:rsidRPr="007B78AA" w:rsidRDefault="00457469" w:rsidP="00D570A4">
            <w:pPr>
              <w:rPr>
                <w:rFonts w:cs="Arial"/>
                <w:b/>
                <w:bCs/>
              </w:rPr>
            </w:pPr>
            <w:r w:rsidRPr="007B78AA">
              <w:rPr>
                <w:rFonts w:cs="Arial"/>
                <w:b/>
                <w:bCs/>
              </w:rPr>
              <w:t>Cross-border</w:t>
            </w:r>
          </w:p>
        </w:tc>
      </w:tr>
      <w:tr w:rsidR="00457469" w:rsidRPr="002A4930" w14:paraId="033829BF" w14:textId="77777777" w:rsidTr="00D570A4">
        <w:tc>
          <w:tcPr>
            <w:tcW w:w="4248" w:type="dxa"/>
          </w:tcPr>
          <w:p w14:paraId="4B8EC293" w14:textId="3A6B9862" w:rsidR="00457469" w:rsidRPr="002A4930" w:rsidRDefault="00457469" w:rsidP="00D570A4">
            <w:pPr>
              <w:rPr>
                <w:rFonts w:cs="Arial"/>
              </w:rPr>
            </w:pPr>
            <w:r w:rsidRPr="002A4930">
              <w:rPr>
                <w:rFonts w:cs="Arial"/>
              </w:rPr>
              <w:t>Average time taken to resolve disputes (from receipt of complaint)</w:t>
            </w:r>
            <w:r w:rsidR="00400BC3" w:rsidRPr="002A4930">
              <w:rPr>
                <w:rFonts w:cs="Arial"/>
              </w:rPr>
              <w:t>*</w:t>
            </w:r>
            <w:r w:rsidRPr="002A4930">
              <w:rPr>
                <w:rFonts w:cs="Arial"/>
              </w:rPr>
              <w:t xml:space="preserve"> </w:t>
            </w:r>
          </w:p>
        </w:tc>
        <w:tc>
          <w:tcPr>
            <w:tcW w:w="2410" w:type="dxa"/>
          </w:tcPr>
          <w:p w14:paraId="3ECB5E8A" w14:textId="4AF7A9A8" w:rsidR="00457469" w:rsidRPr="002A4930" w:rsidRDefault="002A4930" w:rsidP="00D570A4">
            <w:pPr>
              <w:rPr>
                <w:rFonts w:cs="Arial"/>
              </w:rPr>
            </w:pPr>
            <w:r w:rsidRPr="002A4930">
              <w:rPr>
                <w:rFonts w:cs="Arial"/>
              </w:rPr>
              <w:t>334 days</w:t>
            </w:r>
          </w:p>
        </w:tc>
        <w:tc>
          <w:tcPr>
            <w:tcW w:w="2358" w:type="dxa"/>
          </w:tcPr>
          <w:p w14:paraId="1AF6A582" w14:textId="65158AA9" w:rsidR="00457469" w:rsidRPr="002A4930" w:rsidRDefault="005040BD" w:rsidP="00D570A4">
            <w:pPr>
              <w:rPr>
                <w:rFonts w:cs="Arial"/>
              </w:rPr>
            </w:pPr>
            <w:r w:rsidRPr="002A4930">
              <w:rPr>
                <w:rFonts w:cs="Arial"/>
              </w:rPr>
              <w:t>N/A</w:t>
            </w:r>
          </w:p>
        </w:tc>
      </w:tr>
      <w:tr w:rsidR="00457469" w:rsidRPr="002A4930" w14:paraId="020AD066" w14:textId="77777777" w:rsidTr="00D570A4">
        <w:tc>
          <w:tcPr>
            <w:tcW w:w="4248" w:type="dxa"/>
          </w:tcPr>
          <w:p w14:paraId="1CA63CBC" w14:textId="77777777" w:rsidR="00457469" w:rsidRPr="002A4930" w:rsidRDefault="00457469" w:rsidP="00D570A4">
            <w:pPr>
              <w:rPr>
                <w:rFonts w:cs="Arial"/>
              </w:rPr>
            </w:pPr>
            <w:r w:rsidRPr="002A4930">
              <w:rPr>
                <w:rFonts w:cs="Arial"/>
              </w:rPr>
              <w:t>Average time taken to resolve disputes (from ‘complete complaint file’)</w:t>
            </w:r>
          </w:p>
        </w:tc>
        <w:tc>
          <w:tcPr>
            <w:tcW w:w="2410" w:type="dxa"/>
          </w:tcPr>
          <w:p w14:paraId="3074C28E" w14:textId="79282EFD" w:rsidR="00457469" w:rsidRPr="002A4930" w:rsidRDefault="002A4930" w:rsidP="00D570A4">
            <w:pPr>
              <w:rPr>
                <w:rFonts w:cs="Arial"/>
              </w:rPr>
            </w:pPr>
            <w:r w:rsidRPr="002A4930">
              <w:rPr>
                <w:rFonts w:cs="Arial"/>
              </w:rPr>
              <w:t>92 days</w:t>
            </w:r>
          </w:p>
        </w:tc>
        <w:tc>
          <w:tcPr>
            <w:tcW w:w="2358" w:type="dxa"/>
          </w:tcPr>
          <w:p w14:paraId="0A588C4B" w14:textId="79EA754E" w:rsidR="00457469" w:rsidRPr="002A4930" w:rsidRDefault="005040BD" w:rsidP="00D570A4">
            <w:pPr>
              <w:rPr>
                <w:rFonts w:cs="Arial"/>
              </w:rPr>
            </w:pPr>
            <w:r w:rsidRPr="002A4930">
              <w:rPr>
                <w:rFonts w:cs="Arial"/>
              </w:rPr>
              <w:t>N/A</w:t>
            </w:r>
          </w:p>
        </w:tc>
      </w:tr>
    </w:tbl>
    <w:p w14:paraId="73E9808A" w14:textId="77777777" w:rsidR="00457469" w:rsidRPr="002A4930" w:rsidRDefault="00457469" w:rsidP="00457469">
      <w:pPr>
        <w:spacing w:line="240" w:lineRule="auto"/>
        <w:rPr>
          <w:rFonts w:cs="Arial"/>
        </w:rPr>
      </w:pPr>
    </w:p>
    <w:tbl>
      <w:tblPr>
        <w:tblStyle w:val="TableGrid"/>
        <w:tblW w:w="0" w:type="auto"/>
        <w:tblLook w:val="04A0" w:firstRow="1" w:lastRow="0" w:firstColumn="1" w:lastColumn="0" w:noHBand="0" w:noVBand="1"/>
      </w:tblPr>
      <w:tblGrid>
        <w:gridCol w:w="5240"/>
        <w:gridCol w:w="3776"/>
      </w:tblGrid>
      <w:tr w:rsidR="00457469" w14:paraId="376271FB" w14:textId="77777777" w:rsidTr="00D570A4">
        <w:trPr>
          <w:trHeight w:val="501"/>
        </w:trPr>
        <w:tc>
          <w:tcPr>
            <w:tcW w:w="5240" w:type="dxa"/>
          </w:tcPr>
          <w:p w14:paraId="5FF523C5" w14:textId="77777777" w:rsidR="00457469" w:rsidRPr="002A4930" w:rsidRDefault="00457469" w:rsidP="00D570A4">
            <w:pPr>
              <w:rPr>
                <w:rFonts w:cs="Arial"/>
              </w:rPr>
            </w:pPr>
            <w:r w:rsidRPr="002A4930">
              <w:rPr>
                <w:rFonts w:cs="Arial"/>
              </w:rPr>
              <w:t>Total average time taken to resolve disputes</w:t>
            </w:r>
          </w:p>
        </w:tc>
        <w:tc>
          <w:tcPr>
            <w:tcW w:w="3776" w:type="dxa"/>
          </w:tcPr>
          <w:p w14:paraId="5A6A343A" w14:textId="60529848" w:rsidR="00457469" w:rsidRDefault="002A4930" w:rsidP="00D570A4">
            <w:pPr>
              <w:rPr>
                <w:rFonts w:cs="Arial"/>
              </w:rPr>
            </w:pPr>
            <w:r w:rsidRPr="002A4930">
              <w:rPr>
                <w:rFonts w:cs="Arial"/>
              </w:rPr>
              <w:t>334 days</w:t>
            </w:r>
          </w:p>
        </w:tc>
      </w:tr>
    </w:tbl>
    <w:p w14:paraId="638558A6" w14:textId="75C47522" w:rsidR="002A4930" w:rsidRPr="002A4930" w:rsidRDefault="002A4930" w:rsidP="00532E5D">
      <w:pPr>
        <w:spacing w:line="240" w:lineRule="auto"/>
        <w:rPr>
          <w:rFonts w:cs="Arial"/>
          <w:sz w:val="18"/>
          <w:szCs w:val="18"/>
        </w:rPr>
      </w:pPr>
      <w:r w:rsidRPr="002A4930">
        <w:rPr>
          <w:rFonts w:cs="Arial"/>
          <w:sz w:val="18"/>
          <w:szCs w:val="18"/>
        </w:rPr>
        <w:t xml:space="preserve">*Please note that we updated our system to monitor this statistic in 2020 and whilst we backfilled much of 2019’s information, this may not be a complete picture. </w:t>
      </w:r>
    </w:p>
    <w:p w14:paraId="6D18F18A" w14:textId="5ABC615F" w:rsidR="00532E5D" w:rsidRPr="00CB5B37" w:rsidRDefault="00532E5D" w:rsidP="00163AD4">
      <w:pPr>
        <w:pStyle w:val="ListParagraph"/>
        <w:numPr>
          <w:ilvl w:val="0"/>
          <w:numId w:val="2"/>
        </w:numPr>
        <w:spacing w:line="240" w:lineRule="auto"/>
        <w:rPr>
          <w:rFonts w:cs="Arial"/>
          <w:b/>
          <w:bCs/>
          <w:color w:val="00B0F0"/>
        </w:rPr>
      </w:pPr>
      <w:r w:rsidRPr="00CB5B37">
        <w:rPr>
          <w:rFonts w:cs="Arial"/>
          <w:b/>
          <w:bCs/>
          <w:color w:val="00B0F0"/>
        </w:rPr>
        <w:t>the rate of compliance, if known, with the outcomes of its alternative dispute resolution procedures</w:t>
      </w:r>
      <w:r w:rsidR="00CD58A9" w:rsidRPr="00CB5B37">
        <w:rPr>
          <w:rFonts w:cs="Arial"/>
          <w:b/>
          <w:bCs/>
          <w:color w:val="00B0F0"/>
        </w:rPr>
        <w:t>:</w:t>
      </w:r>
    </w:p>
    <w:p w14:paraId="5A0E3340" w14:textId="21339736" w:rsidR="00AE4414" w:rsidRDefault="00CD58A9" w:rsidP="00532E5D">
      <w:pPr>
        <w:spacing w:line="240" w:lineRule="auto"/>
        <w:rPr>
          <w:rFonts w:cs="Arial"/>
        </w:rPr>
      </w:pPr>
      <w:r>
        <w:rPr>
          <w:rFonts w:cs="Arial"/>
        </w:rPr>
        <w:t>Within this Reporting Period, the rate of compliance is 99%. We had 5 instances of non-compliance with an award, which resulted in the businesses’ expulsion from The Motor Ombudsman.</w:t>
      </w:r>
    </w:p>
    <w:p w14:paraId="080636C9" w14:textId="28F6FE2A" w:rsidR="00AE4414" w:rsidRPr="00CD58A9" w:rsidRDefault="00532E5D" w:rsidP="00163AD4">
      <w:pPr>
        <w:pStyle w:val="ListParagraph"/>
        <w:numPr>
          <w:ilvl w:val="0"/>
          <w:numId w:val="2"/>
        </w:numPr>
        <w:spacing w:line="240" w:lineRule="auto"/>
        <w:rPr>
          <w:rFonts w:cs="Arial"/>
          <w:b/>
          <w:bCs/>
        </w:rPr>
      </w:pPr>
      <w:r w:rsidRPr="00CD58A9">
        <w:rPr>
          <w:rFonts w:cs="Arial"/>
          <w:b/>
          <w:bCs/>
        </w:rPr>
        <w:t>any recommendations the ADR entity may have as to how any systematic or significant problems that occur frequently and lead to disputes between consumers and traders could be avoided or resolved in future</w:t>
      </w:r>
      <w:r w:rsidR="00CD58A9" w:rsidRPr="00CD58A9">
        <w:rPr>
          <w:rFonts w:cs="Arial"/>
          <w:b/>
          <w:bCs/>
        </w:rPr>
        <w:t>:</w:t>
      </w:r>
    </w:p>
    <w:p w14:paraId="482E08B0" w14:textId="1A18F4DC" w:rsidR="00246746" w:rsidRPr="00A93BDC" w:rsidRDefault="00B42D99" w:rsidP="00EA1647">
      <w:pPr>
        <w:spacing w:line="240" w:lineRule="auto"/>
        <w:rPr>
          <w:rFonts w:cs="Arial"/>
        </w:rPr>
      </w:pPr>
      <w:r w:rsidRPr="00A93BDC">
        <w:rPr>
          <w:rFonts w:cs="Arial"/>
        </w:rPr>
        <w:lastRenderedPageBreak/>
        <w:t xml:space="preserve">As explained previously, it is our view that any systematic or significant problems can be avoided or resolved by ensuring that all consumers have access to a free-of-charge ADR provider, particularly where that provider is an ombudsman. This is because not only can an ombudsman resolve the individual complaint, but they can use the data gathered to identify trends and systemic problems – and engage with businesses to prevent problems happening in the first place, rather than simply focussing on closing off the issue at hand. </w:t>
      </w:r>
    </w:p>
    <w:p w14:paraId="6B14DF27" w14:textId="7C384636" w:rsidR="00246746" w:rsidRDefault="00B42D99" w:rsidP="00532E5D">
      <w:pPr>
        <w:spacing w:line="240" w:lineRule="auto"/>
        <w:rPr>
          <w:rFonts w:cs="Arial"/>
        </w:rPr>
      </w:pPr>
      <w:r>
        <w:rPr>
          <w:rFonts w:cs="Arial"/>
        </w:rPr>
        <w:t xml:space="preserve">Additionally, there can be more of a focus on business education – not just from engaging with ADR providers, but in the wider consumer protection landscape. Many businesses wish to comply but simply are unaware of or do not understand their legal obligations: they may also not know where to turn for advice in remaining compliant and, especially for SMEs, may not have access to expert information and guidance. </w:t>
      </w:r>
      <w:r w:rsidR="00300D1D">
        <w:rPr>
          <w:rFonts w:cs="Arial"/>
        </w:rPr>
        <w:t>More encouragement to engage with ADR, more resources and toolkits for businesses and access to tailored advice could significantly improve the consumer experience.</w:t>
      </w:r>
    </w:p>
    <w:p w14:paraId="6D13E14E" w14:textId="1EAB12B5" w:rsidR="00AE4414" w:rsidRPr="00CB5B37" w:rsidRDefault="005C47F0" w:rsidP="00B1680E">
      <w:pPr>
        <w:spacing w:line="240" w:lineRule="auto"/>
        <w:ind w:firstLine="360"/>
        <w:rPr>
          <w:rFonts w:cs="Arial"/>
          <w:b/>
          <w:bCs/>
          <w:i/>
          <w:iCs/>
          <w:color w:val="00B0F0"/>
        </w:rPr>
      </w:pPr>
      <w:r w:rsidRPr="00CB5B37">
        <w:rPr>
          <w:rFonts w:cs="Arial"/>
          <w:b/>
          <w:bCs/>
          <w:i/>
          <w:iCs/>
          <w:color w:val="00B0F0"/>
        </w:rPr>
        <w:t xml:space="preserve">(f) </w:t>
      </w:r>
      <w:r w:rsidR="00E82192" w:rsidRPr="00CB5B37">
        <w:rPr>
          <w:rFonts w:cs="Arial"/>
          <w:b/>
          <w:bCs/>
          <w:i/>
          <w:iCs/>
          <w:color w:val="00B0F0"/>
        </w:rPr>
        <w:t>This point has been removed in amendments on 1 January 2021</w:t>
      </w:r>
    </w:p>
    <w:p w14:paraId="4B7F7512" w14:textId="6247D609" w:rsidR="00AE4414" w:rsidRPr="00CB5B37" w:rsidRDefault="00532E5D" w:rsidP="00532E5D">
      <w:pPr>
        <w:pStyle w:val="ListParagraph"/>
        <w:numPr>
          <w:ilvl w:val="0"/>
          <w:numId w:val="3"/>
        </w:numPr>
        <w:spacing w:line="240" w:lineRule="auto"/>
        <w:rPr>
          <w:rFonts w:cs="Arial"/>
          <w:b/>
          <w:bCs/>
          <w:color w:val="00B0F0"/>
        </w:rPr>
      </w:pPr>
      <w:r w:rsidRPr="00CB5B37">
        <w:rPr>
          <w:rFonts w:cs="Arial"/>
          <w:b/>
          <w:bCs/>
          <w:color w:val="00B0F0"/>
        </w:rPr>
        <w:t>where the ADR entity provided training to its ADR officials, details of the training it provides</w:t>
      </w:r>
      <w:r w:rsidR="00B1680E" w:rsidRPr="00CB5B37">
        <w:rPr>
          <w:rFonts w:cs="Arial"/>
          <w:b/>
          <w:bCs/>
          <w:color w:val="00B0F0"/>
        </w:rPr>
        <w:t>:</w:t>
      </w:r>
    </w:p>
    <w:p w14:paraId="2ECBE7D7" w14:textId="77777777" w:rsidR="00B1680E" w:rsidRPr="00B1680E" w:rsidRDefault="00B1680E" w:rsidP="00B1680E">
      <w:pPr>
        <w:pStyle w:val="ListParagraph"/>
        <w:spacing w:line="240" w:lineRule="auto"/>
        <w:rPr>
          <w:rFonts w:cs="Arial"/>
          <w:highlight w:val="yellow"/>
        </w:rPr>
      </w:pPr>
    </w:p>
    <w:p w14:paraId="0F460C5A" w14:textId="2C57D4B2" w:rsidR="00B1680E" w:rsidRDefault="00B1680E" w:rsidP="00B1680E">
      <w:pPr>
        <w:pStyle w:val="ListParagraph"/>
        <w:numPr>
          <w:ilvl w:val="0"/>
          <w:numId w:val="6"/>
        </w:numPr>
        <w:spacing w:line="240" w:lineRule="auto"/>
        <w:rPr>
          <w:rFonts w:cs="Arial"/>
        </w:rPr>
      </w:pPr>
      <w:r>
        <w:rPr>
          <w:rFonts w:cs="Arial"/>
        </w:rPr>
        <w:t>Legal and Consumer Rights Act 2015 training (external)</w:t>
      </w:r>
    </w:p>
    <w:p w14:paraId="28C200AD" w14:textId="77777777" w:rsidR="00B1680E" w:rsidRDefault="00B1680E" w:rsidP="00B1680E">
      <w:pPr>
        <w:pStyle w:val="ListParagraph"/>
        <w:numPr>
          <w:ilvl w:val="0"/>
          <w:numId w:val="6"/>
        </w:numPr>
        <w:spacing w:line="240" w:lineRule="auto"/>
        <w:rPr>
          <w:rFonts w:cs="Arial"/>
        </w:rPr>
      </w:pPr>
      <w:r>
        <w:rPr>
          <w:rFonts w:cs="Arial"/>
        </w:rPr>
        <w:t>Welcome to the Ombudsman training (internal)</w:t>
      </w:r>
    </w:p>
    <w:p w14:paraId="68C17FBE" w14:textId="56E19FF3" w:rsidR="00B1680E" w:rsidRDefault="00B1680E" w:rsidP="00B1680E">
      <w:pPr>
        <w:pStyle w:val="ListParagraph"/>
        <w:numPr>
          <w:ilvl w:val="0"/>
          <w:numId w:val="6"/>
        </w:numPr>
        <w:spacing w:line="240" w:lineRule="auto"/>
        <w:rPr>
          <w:rFonts w:cs="Arial"/>
        </w:rPr>
      </w:pPr>
      <w:r>
        <w:rPr>
          <w:rFonts w:cs="Arial"/>
        </w:rPr>
        <w:t>Vehicle Sales Code training (internal)</w:t>
      </w:r>
    </w:p>
    <w:p w14:paraId="75646E67" w14:textId="10FF5089" w:rsidR="00B1680E" w:rsidRDefault="00B1680E" w:rsidP="00B1680E">
      <w:pPr>
        <w:pStyle w:val="ListParagraph"/>
        <w:numPr>
          <w:ilvl w:val="0"/>
          <w:numId w:val="6"/>
        </w:numPr>
        <w:spacing w:line="240" w:lineRule="auto"/>
        <w:rPr>
          <w:rFonts w:cs="Arial"/>
        </w:rPr>
      </w:pPr>
      <w:r>
        <w:rPr>
          <w:rFonts w:cs="Arial"/>
        </w:rPr>
        <w:t>New Car Code training (internal)</w:t>
      </w:r>
    </w:p>
    <w:p w14:paraId="2DC1488D" w14:textId="792CD28D" w:rsidR="00B1680E" w:rsidRDefault="00B1680E" w:rsidP="00B1680E">
      <w:pPr>
        <w:pStyle w:val="ListParagraph"/>
        <w:numPr>
          <w:ilvl w:val="0"/>
          <w:numId w:val="6"/>
        </w:numPr>
        <w:spacing w:line="240" w:lineRule="auto"/>
        <w:rPr>
          <w:rFonts w:cs="Arial"/>
        </w:rPr>
      </w:pPr>
      <w:r>
        <w:rPr>
          <w:rFonts w:cs="Arial"/>
        </w:rPr>
        <w:t>Vehicle Warranty Products Code training (internal)</w:t>
      </w:r>
    </w:p>
    <w:p w14:paraId="47966608" w14:textId="049218CA" w:rsidR="00B1680E" w:rsidRDefault="00B1680E" w:rsidP="00B1680E">
      <w:pPr>
        <w:pStyle w:val="ListParagraph"/>
        <w:numPr>
          <w:ilvl w:val="0"/>
          <w:numId w:val="6"/>
        </w:numPr>
        <w:spacing w:line="240" w:lineRule="auto"/>
        <w:rPr>
          <w:rFonts w:cs="Arial"/>
        </w:rPr>
      </w:pPr>
      <w:r>
        <w:rPr>
          <w:rFonts w:cs="Arial"/>
        </w:rPr>
        <w:t>Service and Repair Code training (internal)</w:t>
      </w:r>
    </w:p>
    <w:p w14:paraId="50CFEE34" w14:textId="0997B03E" w:rsidR="00B1680E" w:rsidRDefault="00B1680E" w:rsidP="00B1680E">
      <w:pPr>
        <w:pStyle w:val="ListParagraph"/>
        <w:numPr>
          <w:ilvl w:val="0"/>
          <w:numId w:val="6"/>
        </w:numPr>
        <w:spacing w:line="240" w:lineRule="auto"/>
        <w:rPr>
          <w:rFonts w:cs="Arial"/>
        </w:rPr>
      </w:pPr>
      <w:r>
        <w:rPr>
          <w:rFonts w:cs="Arial"/>
        </w:rPr>
        <w:t>Vulnerability and accessibility training (internal)</w:t>
      </w:r>
    </w:p>
    <w:p w14:paraId="1B50F6C5" w14:textId="3D4052ED" w:rsidR="00B1680E" w:rsidRDefault="00B1680E" w:rsidP="00B1680E">
      <w:pPr>
        <w:pStyle w:val="ListParagraph"/>
        <w:numPr>
          <w:ilvl w:val="0"/>
          <w:numId w:val="6"/>
        </w:numPr>
        <w:spacing w:line="240" w:lineRule="auto"/>
        <w:rPr>
          <w:rFonts w:cs="Arial"/>
        </w:rPr>
      </w:pPr>
      <w:r>
        <w:rPr>
          <w:rFonts w:cs="Arial"/>
        </w:rPr>
        <w:t>Mechanical basics training (internal)</w:t>
      </w:r>
    </w:p>
    <w:p w14:paraId="67BA2BFB" w14:textId="3BD9F4CD" w:rsidR="00B1680E" w:rsidRDefault="00B1680E" w:rsidP="00B1680E">
      <w:pPr>
        <w:pStyle w:val="ListParagraph"/>
        <w:numPr>
          <w:ilvl w:val="0"/>
          <w:numId w:val="6"/>
        </w:numPr>
        <w:spacing w:line="240" w:lineRule="auto"/>
        <w:rPr>
          <w:rFonts w:cs="Arial"/>
        </w:rPr>
      </w:pPr>
      <w:r>
        <w:rPr>
          <w:rFonts w:cs="Arial"/>
        </w:rPr>
        <w:t>Diversity, equality and inclusion training (external)</w:t>
      </w:r>
    </w:p>
    <w:p w14:paraId="3391332A" w14:textId="65D2884F" w:rsidR="00FC7996" w:rsidRDefault="00FC7996" w:rsidP="00B1680E">
      <w:pPr>
        <w:pStyle w:val="ListParagraph"/>
        <w:numPr>
          <w:ilvl w:val="0"/>
          <w:numId w:val="6"/>
        </w:numPr>
        <w:spacing w:line="240" w:lineRule="auto"/>
        <w:rPr>
          <w:rFonts w:cs="Arial"/>
        </w:rPr>
      </w:pPr>
      <w:r>
        <w:rPr>
          <w:rFonts w:cs="Arial"/>
        </w:rPr>
        <w:t>Mental health and wellbeing training (external)</w:t>
      </w:r>
    </w:p>
    <w:p w14:paraId="58C42BB8" w14:textId="6C70BBE4" w:rsidR="00FC7996" w:rsidRDefault="00FC7996" w:rsidP="00B1680E">
      <w:pPr>
        <w:pStyle w:val="ListParagraph"/>
        <w:numPr>
          <w:ilvl w:val="0"/>
          <w:numId w:val="6"/>
        </w:numPr>
        <w:spacing w:line="240" w:lineRule="auto"/>
        <w:rPr>
          <w:rFonts w:cs="Arial"/>
        </w:rPr>
      </w:pPr>
      <w:r>
        <w:rPr>
          <w:rFonts w:cs="Arial"/>
        </w:rPr>
        <w:t>Mental health and wellbeing for management (external)</w:t>
      </w:r>
    </w:p>
    <w:p w14:paraId="3BE50DF8" w14:textId="761DE1E6" w:rsidR="00FC7996" w:rsidRDefault="00FC7996" w:rsidP="00B1680E">
      <w:pPr>
        <w:pStyle w:val="ListParagraph"/>
        <w:numPr>
          <w:ilvl w:val="0"/>
          <w:numId w:val="6"/>
        </w:numPr>
        <w:spacing w:line="240" w:lineRule="auto"/>
        <w:rPr>
          <w:rFonts w:cs="Arial"/>
        </w:rPr>
      </w:pPr>
      <w:r>
        <w:rPr>
          <w:rFonts w:cs="Arial"/>
        </w:rPr>
        <w:t>Management, leadership and coaching training (external)</w:t>
      </w:r>
    </w:p>
    <w:p w14:paraId="3135D4AE" w14:textId="40D8DB97" w:rsidR="00B1680E" w:rsidRDefault="00B1680E" w:rsidP="00B1680E">
      <w:pPr>
        <w:pStyle w:val="ListParagraph"/>
        <w:numPr>
          <w:ilvl w:val="0"/>
          <w:numId w:val="6"/>
        </w:numPr>
        <w:spacing w:line="240" w:lineRule="auto"/>
        <w:rPr>
          <w:rFonts w:cs="Arial"/>
        </w:rPr>
      </w:pPr>
      <w:r>
        <w:rPr>
          <w:rFonts w:cs="Arial"/>
        </w:rPr>
        <w:t>Introduction to Alternative Dispute Resolution training (internal)</w:t>
      </w:r>
    </w:p>
    <w:p w14:paraId="5A6D01AD" w14:textId="73702A1D" w:rsidR="00B1680E" w:rsidRDefault="00B1680E" w:rsidP="00B1680E">
      <w:pPr>
        <w:pStyle w:val="ListParagraph"/>
        <w:numPr>
          <w:ilvl w:val="0"/>
          <w:numId w:val="6"/>
        </w:numPr>
        <w:spacing w:line="240" w:lineRule="auto"/>
        <w:rPr>
          <w:rFonts w:cs="Arial"/>
        </w:rPr>
      </w:pPr>
      <w:r>
        <w:rPr>
          <w:rFonts w:cs="Arial"/>
        </w:rPr>
        <w:t>Call training (internal)</w:t>
      </w:r>
    </w:p>
    <w:p w14:paraId="310C9A97" w14:textId="39E70EAE" w:rsidR="00FC7996" w:rsidRDefault="00FC7996" w:rsidP="00B1680E">
      <w:pPr>
        <w:pStyle w:val="ListParagraph"/>
        <w:numPr>
          <w:ilvl w:val="0"/>
          <w:numId w:val="6"/>
        </w:numPr>
        <w:spacing w:line="240" w:lineRule="auto"/>
        <w:rPr>
          <w:rFonts w:cs="Arial"/>
        </w:rPr>
      </w:pPr>
      <w:r>
        <w:rPr>
          <w:rFonts w:cs="Arial"/>
        </w:rPr>
        <w:t>CTSI call handling training (external)</w:t>
      </w:r>
    </w:p>
    <w:p w14:paraId="51CEB523" w14:textId="2F3D2197" w:rsidR="00B1680E" w:rsidRDefault="00B1680E" w:rsidP="00B1680E">
      <w:pPr>
        <w:pStyle w:val="ListParagraph"/>
        <w:numPr>
          <w:ilvl w:val="0"/>
          <w:numId w:val="6"/>
        </w:numPr>
        <w:spacing w:line="240" w:lineRule="auto"/>
        <w:rPr>
          <w:rFonts w:cs="Arial"/>
        </w:rPr>
      </w:pPr>
      <w:r>
        <w:rPr>
          <w:rFonts w:cs="Arial"/>
        </w:rPr>
        <w:t>Complexity rating training (internal)</w:t>
      </w:r>
    </w:p>
    <w:p w14:paraId="573E7D2A" w14:textId="3FA45EF2" w:rsidR="00B1680E" w:rsidRDefault="00B1680E" w:rsidP="00B1680E">
      <w:pPr>
        <w:pStyle w:val="ListParagraph"/>
        <w:numPr>
          <w:ilvl w:val="0"/>
          <w:numId w:val="6"/>
        </w:numPr>
        <w:spacing w:line="240" w:lineRule="auto"/>
        <w:rPr>
          <w:rFonts w:cs="Arial"/>
        </w:rPr>
      </w:pPr>
      <w:r>
        <w:rPr>
          <w:rFonts w:cs="Arial"/>
        </w:rPr>
        <w:t>Ad hoc training around new processes and developments (internal)</w:t>
      </w:r>
    </w:p>
    <w:p w14:paraId="1FDB4900" w14:textId="2667FE85" w:rsidR="00B1680E" w:rsidRDefault="00B1680E" w:rsidP="00B1680E">
      <w:pPr>
        <w:pStyle w:val="ListParagraph"/>
        <w:numPr>
          <w:ilvl w:val="0"/>
          <w:numId w:val="6"/>
        </w:numPr>
        <w:spacing w:line="240" w:lineRule="auto"/>
        <w:rPr>
          <w:rFonts w:cs="Arial"/>
        </w:rPr>
      </w:pPr>
      <w:r>
        <w:rPr>
          <w:rFonts w:cs="Arial"/>
        </w:rPr>
        <w:t>Case management and telephony systems training (internal)</w:t>
      </w:r>
    </w:p>
    <w:p w14:paraId="7E9BF44D" w14:textId="1556861B" w:rsidR="00B1680E" w:rsidRDefault="00B1680E" w:rsidP="00B1680E">
      <w:pPr>
        <w:pStyle w:val="ListParagraph"/>
        <w:numPr>
          <w:ilvl w:val="0"/>
          <w:numId w:val="6"/>
        </w:numPr>
        <w:spacing w:line="240" w:lineRule="auto"/>
        <w:rPr>
          <w:rFonts w:cs="Arial"/>
        </w:rPr>
      </w:pPr>
      <w:r>
        <w:rPr>
          <w:rFonts w:cs="Arial"/>
        </w:rPr>
        <w:t>Distance selling training (internal)</w:t>
      </w:r>
    </w:p>
    <w:p w14:paraId="33638689" w14:textId="76424A32" w:rsidR="00B1680E" w:rsidRDefault="00B1680E" w:rsidP="00B1680E">
      <w:pPr>
        <w:pStyle w:val="ListParagraph"/>
        <w:numPr>
          <w:ilvl w:val="0"/>
          <w:numId w:val="6"/>
        </w:numPr>
        <w:spacing w:line="240" w:lineRule="auto"/>
        <w:rPr>
          <w:rFonts w:cs="Arial"/>
        </w:rPr>
      </w:pPr>
      <w:r>
        <w:rPr>
          <w:rFonts w:cs="Arial"/>
        </w:rPr>
        <w:t>The law and vehicle sales training (internal)</w:t>
      </w:r>
    </w:p>
    <w:p w14:paraId="2A17F8BD" w14:textId="702AF3B0" w:rsidR="00AE4414" w:rsidRDefault="00B1680E" w:rsidP="00532E5D">
      <w:pPr>
        <w:pStyle w:val="ListParagraph"/>
        <w:numPr>
          <w:ilvl w:val="0"/>
          <w:numId w:val="6"/>
        </w:numPr>
        <w:spacing w:line="240" w:lineRule="auto"/>
        <w:rPr>
          <w:rFonts w:cs="Arial"/>
        </w:rPr>
      </w:pPr>
      <w:r>
        <w:rPr>
          <w:rFonts w:cs="Arial"/>
        </w:rPr>
        <w:t>Core Mediation Skills certificate (external)</w:t>
      </w:r>
    </w:p>
    <w:p w14:paraId="3AD395E8" w14:textId="0515C9A6" w:rsidR="00FC7996" w:rsidRDefault="00FC7996" w:rsidP="00532E5D">
      <w:pPr>
        <w:pStyle w:val="ListParagraph"/>
        <w:numPr>
          <w:ilvl w:val="0"/>
          <w:numId w:val="6"/>
        </w:numPr>
        <w:spacing w:line="240" w:lineRule="auto"/>
        <w:rPr>
          <w:rFonts w:cs="Arial"/>
        </w:rPr>
      </w:pPr>
      <w:r>
        <w:rPr>
          <w:rFonts w:cs="Arial"/>
        </w:rPr>
        <w:t>Working from home and wellbeing webinars (external)</w:t>
      </w:r>
    </w:p>
    <w:p w14:paraId="43B8ABFE" w14:textId="77777777" w:rsidR="00B1680E" w:rsidRPr="00B1680E" w:rsidRDefault="00B1680E" w:rsidP="00B1680E">
      <w:pPr>
        <w:pStyle w:val="ListParagraph"/>
        <w:spacing w:line="240" w:lineRule="auto"/>
        <w:rPr>
          <w:rFonts w:cs="Arial"/>
        </w:rPr>
      </w:pPr>
    </w:p>
    <w:p w14:paraId="6396B142" w14:textId="282C559D" w:rsidR="00532E5D" w:rsidRPr="001F1F65" w:rsidRDefault="00532E5D" w:rsidP="004B022F">
      <w:pPr>
        <w:pStyle w:val="ListParagraph"/>
        <w:numPr>
          <w:ilvl w:val="0"/>
          <w:numId w:val="3"/>
        </w:numPr>
        <w:spacing w:line="240" w:lineRule="auto"/>
        <w:rPr>
          <w:rFonts w:cs="Arial"/>
          <w:b/>
          <w:bCs/>
          <w:color w:val="00B0F0"/>
        </w:rPr>
      </w:pPr>
      <w:r w:rsidRPr="001F1F65">
        <w:rPr>
          <w:rFonts w:cs="Arial"/>
          <w:b/>
          <w:bCs/>
          <w:color w:val="00B0F0"/>
        </w:rPr>
        <w:t xml:space="preserve">an assessment </w:t>
      </w:r>
      <w:r w:rsidR="00144988" w:rsidRPr="001F1F65">
        <w:rPr>
          <w:rFonts w:cs="Arial"/>
          <w:b/>
          <w:bCs/>
          <w:color w:val="00B0F0"/>
        </w:rPr>
        <w:t>of t</w:t>
      </w:r>
      <w:r w:rsidRPr="001F1F65">
        <w:rPr>
          <w:rFonts w:cs="Arial"/>
          <w:b/>
          <w:bCs/>
          <w:color w:val="00B0F0"/>
        </w:rPr>
        <w:t>he effectiveness of an alternative dispute resolution procedure offered by the ADR entity and of possible ways of improving its performance</w:t>
      </w:r>
      <w:r w:rsidR="00CB5B37" w:rsidRPr="001F1F65">
        <w:rPr>
          <w:rFonts w:cs="Arial"/>
          <w:b/>
          <w:bCs/>
          <w:color w:val="00B0F0"/>
        </w:rPr>
        <w:t>:</w:t>
      </w:r>
    </w:p>
    <w:p w14:paraId="14ABC8C7" w14:textId="0D5DF6BD" w:rsidR="00CD58A9" w:rsidRPr="001F1F65" w:rsidRDefault="00CD58A9" w:rsidP="005927D5">
      <w:pPr>
        <w:spacing w:line="240" w:lineRule="auto"/>
        <w:rPr>
          <w:rFonts w:cs="Arial"/>
        </w:rPr>
      </w:pPr>
      <w:r w:rsidRPr="001F1F65">
        <w:rPr>
          <w:rFonts w:cs="Arial"/>
        </w:rPr>
        <w:t>Over this Reporting Period, The Motor Ombudsman has worked extremely hard to increase its effectiveness and quality. This has included:</w:t>
      </w:r>
    </w:p>
    <w:p w14:paraId="68CF7524" w14:textId="7A5B76CD" w:rsidR="00CD58A9" w:rsidRPr="001F1F65" w:rsidRDefault="00CD58A9" w:rsidP="00CD58A9">
      <w:pPr>
        <w:pStyle w:val="ListParagraph"/>
        <w:numPr>
          <w:ilvl w:val="0"/>
          <w:numId w:val="8"/>
        </w:numPr>
        <w:spacing w:line="240" w:lineRule="auto"/>
        <w:rPr>
          <w:rFonts w:cs="Arial"/>
        </w:rPr>
      </w:pPr>
      <w:r w:rsidRPr="001F1F65">
        <w:rPr>
          <w:rFonts w:cs="Arial"/>
        </w:rPr>
        <w:t xml:space="preserve">Recruiting and retaining more staff, allowing us to handle </w:t>
      </w:r>
      <w:r w:rsidR="00856275" w:rsidRPr="001F1F65">
        <w:rPr>
          <w:rFonts w:cs="Arial"/>
        </w:rPr>
        <w:t>higher volumes of enquiries and disputes, and considerably improve our service levels;</w:t>
      </w:r>
    </w:p>
    <w:p w14:paraId="21E99182" w14:textId="214DD9BE" w:rsidR="00856275" w:rsidRPr="001F1F65" w:rsidRDefault="00856275" w:rsidP="00CD58A9">
      <w:pPr>
        <w:pStyle w:val="ListParagraph"/>
        <w:numPr>
          <w:ilvl w:val="0"/>
          <w:numId w:val="8"/>
        </w:numPr>
        <w:spacing w:line="240" w:lineRule="auto"/>
        <w:rPr>
          <w:rFonts w:cs="Arial"/>
        </w:rPr>
      </w:pPr>
      <w:r w:rsidRPr="001F1F65">
        <w:rPr>
          <w:rFonts w:cs="Arial"/>
        </w:rPr>
        <w:lastRenderedPageBreak/>
        <w:t>Refreshing its quality control processes, ensuring they are rigorous and in line with the standards expected of us both as an Ombudsman and an ADR provider;</w:t>
      </w:r>
    </w:p>
    <w:p w14:paraId="42A70D57" w14:textId="7B0A7BBB" w:rsidR="00856275" w:rsidRPr="001F1F65" w:rsidRDefault="00856275" w:rsidP="00CD58A9">
      <w:pPr>
        <w:pStyle w:val="ListParagraph"/>
        <w:numPr>
          <w:ilvl w:val="0"/>
          <w:numId w:val="8"/>
        </w:numPr>
        <w:spacing w:line="240" w:lineRule="auto"/>
        <w:rPr>
          <w:rFonts w:cs="Arial"/>
        </w:rPr>
      </w:pPr>
      <w:r w:rsidRPr="001F1F65">
        <w:rPr>
          <w:rFonts w:cs="Arial"/>
        </w:rPr>
        <w:t>Enhancing its technological capabilities, such as the creation and launch of a new online complaint form</w:t>
      </w:r>
      <w:r w:rsidR="00A928E8" w:rsidRPr="001F1F65">
        <w:rPr>
          <w:rFonts w:cs="Arial"/>
        </w:rPr>
        <w:t xml:space="preserve"> to make TMO more accessible and streamline the evidence collection process</w:t>
      </w:r>
      <w:r w:rsidR="00835350" w:rsidRPr="001F1F65">
        <w:rPr>
          <w:rFonts w:cs="Arial"/>
        </w:rPr>
        <w:t>, and investing in new tools to support caseworkers</w:t>
      </w:r>
      <w:r w:rsidR="00A928E8" w:rsidRPr="001F1F65">
        <w:rPr>
          <w:rFonts w:cs="Arial"/>
        </w:rPr>
        <w:t>;</w:t>
      </w:r>
    </w:p>
    <w:p w14:paraId="703F46EE" w14:textId="53D06F66" w:rsidR="00A928E8" w:rsidRPr="001F1F65" w:rsidRDefault="00A928E8" w:rsidP="00CD58A9">
      <w:pPr>
        <w:pStyle w:val="ListParagraph"/>
        <w:numPr>
          <w:ilvl w:val="0"/>
          <w:numId w:val="8"/>
        </w:numPr>
        <w:spacing w:line="240" w:lineRule="auto"/>
        <w:rPr>
          <w:rFonts w:cs="Arial"/>
        </w:rPr>
      </w:pPr>
      <w:r w:rsidRPr="001F1F65">
        <w:rPr>
          <w:rFonts w:cs="Arial"/>
        </w:rPr>
        <w:t>Introducing mediation as a new way of resolving disputes in a quicker and more amicable way, allowing both consumers and businesses to explore not just the facts of the dispute, but also the emotional impact;</w:t>
      </w:r>
    </w:p>
    <w:p w14:paraId="7E4E8866" w14:textId="5CFD8328" w:rsidR="001F1F65" w:rsidRPr="001F1F65" w:rsidRDefault="001F1F65" w:rsidP="00CD58A9">
      <w:pPr>
        <w:pStyle w:val="ListParagraph"/>
        <w:numPr>
          <w:ilvl w:val="0"/>
          <w:numId w:val="8"/>
        </w:numPr>
        <w:spacing w:line="240" w:lineRule="auto"/>
        <w:rPr>
          <w:rFonts w:cs="Arial"/>
        </w:rPr>
      </w:pPr>
      <w:r w:rsidRPr="001F1F65">
        <w:rPr>
          <w:rFonts w:cs="Arial"/>
        </w:rPr>
        <w:t>Reforming our service complaints procedure, alongside giving consumers more mechanisms to provide feedback;</w:t>
      </w:r>
    </w:p>
    <w:p w14:paraId="5ED4C3E1" w14:textId="31443205" w:rsidR="00A928E8" w:rsidRPr="001F1F65" w:rsidRDefault="00A928E8" w:rsidP="00CD58A9">
      <w:pPr>
        <w:pStyle w:val="ListParagraph"/>
        <w:numPr>
          <w:ilvl w:val="0"/>
          <w:numId w:val="8"/>
        </w:numPr>
        <w:spacing w:line="240" w:lineRule="auto"/>
        <w:rPr>
          <w:rFonts w:cs="Arial"/>
        </w:rPr>
      </w:pPr>
      <w:r w:rsidRPr="001F1F65">
        <w:rPr>
          <w:rFonts w:cs="Arial"/>
        </w:rPr>
        <w:t>Increasing visibility and oversight with better management information, performance management and data collection</w:t>
      </w:r>
      <w:r w:rsidR="00835350" w:rsidRPr="001F1F65">
        <w:rPr>
          <w:rFonts w:cs="Arial"/>
        </w:rPr>
        <w:t xml:space="preserve"> – alongside increasing coaching and support for caseworkers</w:t>
      </w:r>
      <w:r w:rsidRPr="001F1F65">
        <w:rPr>
          <w:rFonts w:cs="Arial"/>
        </w:rPr>
        <w:t>;</w:t>
      </w:r>
    </w:p>
    <w:p w14:paraId="423977D7" w14:textId="2E0677A0" w:rsidR="00A928E8" w:rsidRPr="001F1F65" w:rsidRDefault="001F1F65" w:rsidP="00CD58A9">
      <w:pPr>
        <w:pStyle w:val="ListParagraph"/>
        <w:numPr>
          <w:ilvl w:val="0"/>
          <w:numId w:val="8"/>
        </w:numPr>
        <w:spacing w:line="240" w:lineRule="auto"/>
        <w:rPr>
          <w:rFonts w:cs="Arial"/>
        </w:rPr>
      </w:pPr>
      <w:r w:rsidRPr="001F1F65">
        <w:rPr>
          <w:rFonts w:cs="Arial"/>
        </w:rPr>
        <w:t>Significantly improving our service levels to ensure consumers and businesses have their issues resolved swiftly, whilst also ensuring our investigations are robust, impartial and thorough.</w:t>
      </w:r>
    </w:p>
    <w:p w14:paraId="492805BF" w14:textId="09800373" w:rsidR="001F1F65" w:rsidRPr="001F1F65" w:rsidRDefault="001F1F65" w:rsidP="001F1F65">
      <w:pPr>
        <w:spacing w:line="240" w:lineRule="auto"/>
        <w:rPr>
          <w:rFonts w:cs="Arial"/>
        </w:rPr>
      </w:pPr>
      <w:r w:rsidRPr="001F1F65">
        <w:rPr>
          <w:rFonts w:cs="Arial"/>
        </w:rPr>
        <w:t xml:space="preserve">We are proud of the progress we have made over the course of 2021 but we understand there is more we can do. For example, many of our strategic projects are still in progress, and we believe that once they are completed and implemented, the effectiveness of our caseworkers will be further improved. We also want to build upon the success of mediation and continue to grow early resolution as a way of resolving complaints without the need of a decision, as we have found this to be a highly satisfactory resolution technique for both parties. Finally, we will continue to push for mandating ADR in the motor industry, to ensure that consumers – regardless of which business they use – have the ability to access free, fair and effective ADR. </w:t>
      </w:r>
    </w:p>
    <w:p w14:paraId="34C32D82" w14:textId="1E1D639D" w:rsidR="005927D5" w:rsidRDefault="005927D5" w:rsidP="005927D5">
      <w:pPr>
        <w:spacing w:line="240" w:lineRule="auto"/>
        <w:rPr>
          <w:rFonts w:cs="Arial"/>
          <w:b/>
          <w:bCs/>
          <w:color w:val="00B0F0"/>
        </w:rPr>
      </w:pPr>
      <w:r w:rsidRPr="00CB5B37">
        <w:rPr>
          <w:rFonts w:cs="Arial"/>
          <w:b/>
          <w:bCs/>
          <w:color w:val="00B0F0"/>
        </w:rPr>
        <w:t>Please add any additional information or data you think might be useful or interesting at the bottom of this report.</w:t>
      </w:r>
      <w:r w:rsidR="00201D67" w:rsidRPr="00CB5B37">
        <w:rPr>
          <w:rFonts w:cs="Arial"/>
          <w:b/>
          <w:bCs/>
          <w:color w:val="00B0F0"/>
        </w:rPr>
        <w:t xml:space="preserve"> </w:t>
      </w:r>
    </w:p>
    <w:p w14:paraId="68832F43" w14:textId="53E0BB02" w:rsidR="00D656C8" w:rsidRPr="00D656C8" w:rsidRDefault="00D656C8" w:rsidP="005927D5">
      <w:pPr>
        <w:spacing w:line="240" w:lineRule="auto"/>
        <w:rPr>
          <w:rFonts w:cs="Arial"/>
        </w:rPr>
      </w:pPr>
      <w:r w:rsidRPr="00D33F2B">
        <w:rPr>
          <w:rFonts w:cs="Arial"/>
        </w:rPr>
        <w:t>For this Reporting Period, the outcomes reached by The Motor Ombudsman at both its adjudication and final decision stages were:</w:t>
      </w:r>
    </w:p>
    <w:p w14:paraId="7596FF52" w14:textId="77777777" w:rsidR="00D656C8" w:rsidRDefault="00D656C8" w:rsidP="005E2BE6">
      <w:pPr>
        <w:spacing w:line="240" w:lineRule="auto"/>
        <w:rPr>
          <w:rFonts w:cs="Arial"/>
        </w:rPr>
      </w:pPr>
      <w:r>
        <w:rPr>
          <w:noProof/>
        </w:rPr>
        <w:drawing>
          <wp:inline distT="0" distB="0" distL="0" distR="0" wp14:anchorId="5B7403B5" wp14:editId="7041EC65">
            <wp:extent cx="5930900" cy="3022600"/>
            <wp:effectExtent l="0" t="0" r="12700" b="6350"/>
            <wp:docPr id="6" name="Chart 6">
              <a:extLst xmlns:a="http://schemas.openxmlformats.org/drawingml/2006/main">
                <a:ext uri="{FF2B5EF4-FFF2-40B4-BE49-F238E27FC236}">
                  <a16:creationId xmlns:a16="http://schemas.microsoft.com/office/drawing/2014/main" id="{FC71C49C-6457-4EEA-B8BC-B7E573A6E9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08F1C8" w14:textId="13F9EA1C" w:rsidR="005E2BE6" w:rsidRDefault="005E2BE6" w:rsidP="005E2BE6">
      <w:pPr>
        <w:spacing w:line="240" w:lineRule="auto"/>
        <w:rPr>
          <w:rFonts w:cs="Arial"/>
        </w:rPr>
      </w:pPr>
      <w:r>
        <w:rPr>
          <w:rFonts w:cs="Arial"/>
        </w:rPr>
        <w:lastRenderedPageBreak/>
        <w:t>Across the Reporting Period, we published a variety of reports on different subjects, providing a wealth of interesting information, data and insight.</w:t>
      </w:r>
    </w:p>
    <w:p w14:paraId="65B93F51" w14:textId="7D606378" w:rsidR="00835350" w:rsidRDefault="00835350" w:rsidP="005E2BE6">
      <w:pPr>
        <w:pStyle w:val="ListParagraph"/>
        <w:numPr>
          <w:ilvl w:val="0"/>
          <w:numId w:val="9"/>
        </w:numPr>
        <w:spacing w:line="240" w:lineRule="auto"/>
        <w:rPr>
          <w:rFonts w:cs="Arial"/>
        </w:rPr>
      </w:pPr>
      <w:r>
        <w:rPr>
          <w:rFonts w:cs="Arial"/>
        </w:rPr>
        <w:t xml:space="preserve">For our 2019 and 2020 press releases, please click </w:t>
      </w:r>
      <w:hyperlink r:id="rId17" w:history="1">
        <w:r w:rsidRPr="00EA1647">
          <w:rPr>
            <w:rStyle w:val="Hyperlink"/>
            <w:rFonts w:cs="Arial"/>
            <w:b/>
            <w:bCs/>
            <w:color w:val="00B0F0"/>
          </w:rPr>
          <w:t>here</w:t>
        </w:r>
      </w:hyperlink>
      <w:r>
        <w:rPr>
          <w:rFonts w:cs="Arial"/>
        </w:rPr>
        <w:t>.</w:t>
      </w:r>
    </w:p>
    <w:p w14:paraId="7F54FB9F" w14:textId="040B0F3C" w:rsidR="005E2BE6" w:rsidRDefault="00A928E8" w:rsidP="005E2BE6">
      <w:pPr>
        <w:pStyle w:val="ListParagraph"/>
        <w:numPr>
          <w:ilvl w:val="0"/>
          <w:numId w:val="9"/>
        </w:numPr>
        <w:spacing w:line="240" w:lineRule="auto"/>
        <w:rPr>
          <w:rFonts w:cs="Arial"/>
        </w:rPr>
      </w:pPr>
      <w:r>
        <w:rPr>
          <w:rFonts w:cs="Arial"/>
        </w:rPr>
        <w:t xml:space="preserve">For our 2019 ICAP report, please click </w:t>
      </w:r>
      <w:hyperlink r:id="rId18" w:history="1">
        <w:r w:rsidRPr="00EA1647">
          <w:rPr>
            <w:rStyle w:val="Hyperlink"/>
            <w:rFonts w:cs="Arial"/>
            <w:b/>
            <w:bCs/>
            <w:color w:val="00B0F0"/>
          </w:rPr>
          <w:t>here</w:t>
        </w:r>
      </w:hyperlink>
      <w:r>
        <w:rPr>
          <w:rFonts w:cs="Arial"/>
        </w:rPr>
        <w:t>.</w:t>
      </w:r>
    </w:p>
    <w:p w14:paraId="7A4609A1" w14:textId="39FF21AB" w:rsidR="005E2BE6" w:rsidRDefault="005E2BE6" w:rsidP="005E2BE6">
      <w:pPr>
        <w:pStyle w:val="ListParagraph"/>
        <w:numPr>
          <w:ilvl w:val="0"/>
          <w:numId w:val="9"/>
        </w:numPr>
        <w:spacing w:line="240" w:lineRule="auto"/>
        <w:rPr>
          <w:rFonts w:cs="Arial"/>
        </w:rPr>
      </w:pPr>
      <w:r w:rsidRPr="004A5D15">
        <w:rPr>
          <w:rFonts w:cs="Arial"/>
        </w:rPr>
        <w:t xml:space="preserve">For our 2020 </w:t>
      </w:r>
      <w:r w:rsidR="00A928E8">
        <w:rPr>
          <w:rFonts w:cs="Arial"/>
        </w:rPr>
        <w:t>ICAP</w:t>
      </w:r>
      <w:r w:rsidRPr="004A5D15">
        <w:rPr>
          <w:rFonts w:cs="Arial"/>
        </w:rPr>
        <w:t xml:space="preserve"> report, please click </w:t>
      </w:r>
      <w:hyperlink r:id="rId19" w:history="1">
        <w:r w:rsidRPr="005E2BE6">
          <w:rPr>
            <w:rStyle w:val="Hyperlink"/>
            <w:rFonts w:cs="Arial"/>
            <w:b/>
            <w:bCs/>
            <w:color w:val="00B0F0"/>
          </w:rPr>
          <w:t>here</w:t>
        </w:r>
      </w:hyperlink>
      <w:r w:rsidRPr="004A5D15">
        <w:rPr>
          <w:rFonts w:cs="Arial"/>
        </w:rPr>
        <w:t>.</w:t>
      </w:r>
    </w:p>
    <w:p w14:paraId="752A5727" w14:textId="145C9EB1" w:rsidR="00A928E8" w:rsidRDefault="005E2BE6" w:rsidP="005E2BE6">
      <w:pPr>
        <w:pStyle w:val="ListParagraph"/>
        <w:numPr>
          <w:ilvl w:val="0"/>
          <w:numId w:val="9"/>
        </w:numPr>
        <w:spacing w:line="240" w:lineRule="auto"/>
        <w:rPr>
          <w:rFonts w:cs="Arial"/>
        </w:rPr>
      </w:pPr>
      <w:r w:rsidRPr="004A5D15">
        <w:rPr>
          <w:rFonts w:cs="Arial"/>
        </w:rPr>
        <w:t xml:space="preserve">For our </w:t>
      </w:r>
      <w:r w:rsidR="00A928E8">
        <w:rPr>
          <w:rFonts w:cs="Arial"/>
        </w:rPr>
        <w:t xml:space="preserve">2019 Annual Report, please click </w:t>
      </w:r>
      <w:hyperlink r:id="rId20" w:history="1">
        <w:r w:rsidR="00A928E8" w:rsidRPr="00EA1647">
          <w:rPr>
            <w:rStyle w:val="Hyperlink"/>
            <w:rFonts w:cs="Arial"/>
            <w:b/>
            <w:bCs/>
            <w:color w:val="00B0F0"/>
          </w:rPr>
          <w:t>here</w:t>
        </w:r>
      </w:hyperlink>
      <w:r w:rsidR="00A928E8">
        <w:rPr>
          <w:rFonts w:cs="Arial"/>
        </w:rPr>
        <w:t>.</w:t>
      </w:r>
    </w:p>
    <w:p w14:paraId="6BEC63E4" w14:textId="10BE720F" w:rsidR="005E2BE6" w:rsidRPr="004A5D15" w:rsidRDefault="005E2BE6" w:rsidP="005E2BE6">
      <w:pPr>
        <w:pStyle w:val="ListParagraph"/>
        <w:numPr>
          <w:ilvl w:val="0"/>
          <w:numId w:val="9"/>
        </w:numPr>
        <w:spacing w:line="240" w:lineRule="auto"/>
        <w:rPr>
          <w:rFonts w:cs="Arial"/>
        </w:rPr>
      </w:pPr>
      <w:r w:rsidRPr="004A5D15">
        <w:rPr>
          <w:rFonts w:cs="Arial"/>
        </w:rPr>
        <w:t xml:space="preserve">2020 Annual Report, please click </w:t>
      </w:r>
      <w:hyperlink r:id="rId21" w:history="1">
        <w:r w:rsidRPr="005E2BE6">
          <w:rPr>
            <w:rStyle w:val="Hyperlink"/>
            <w:rFonts w:cs="Arial"/>
            <w:b/>
            <w:bCs/>
            <w:color w:val="00B0F0"/>
          </w:rPr>
          <w:t>here</w:t>
        </w:r>
      </w:hyperlink>
      <w:r w:rsidRPr="004A5D15">
        <w:rPr>
          <w:rFonts w:cs="Arial"/>
        </w:rPr>
        <w:t>.</w:t>
      </w:r>
    </w:p>
    <w:p w14:paraId="04B1D19D" w14:textId="77777777" w:rsidR="005927D5" w:rsidRPr="00532E5D" w:rsidRDefault="005927D5" w:rsidP="005927D5">
      <w:pPr>
        <w:spacing w:line="240" w:lineRule="auto"/>
        <w:rPr>
          <w:rFonts w:ascii="Neo Sans Std" w:hAnsi="Neo Sans Std" w:cs="Arial"/>
          <w:sz w:val="20"/>
          <w:szCs w:val="20"/>
        </w:rPr>
      </w:pPr>
    </w:p>
    <w:sectPr w:rsidR="005927D5" w:rsidRPr="00532E5D" w:rsidSect="00A25FEE">
      <w:headerReference w:type="default" r:id="rId22"/>
      <w:footerReference w:type="default" r:id="rId23"/>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CA4B" w14:textId="77777777" w:rsidR="00853EDD" w:rsidRDefault="00853EDD" w:rsidP="00A25FEE">
      <w:pPr>
        <w:spacing w:after="0" w:line="240" w:lineRule="auto"/>
      </w:pPr>
      <w:r>
        <w:separator/>
      </w:r>
    </w:p>
  </w:endnote>
  <w:endnote w:type="continuationSeparator" w:id="0">
    <w:p w14:paraId="3E4A36E0" w14:textId="77777777" w:rsidR="00853EDD" w:rsidRDefault="00853EDD" w:rsidP="00A2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o Sans Std">
    <w:altName w:val="Calibri"/>
    <w:panose1 w:val="00000000000000000000"/>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A65C" w14:textId="170F1D3A" w:rsidR="00A25FEE" w:rsidRDefault="00A25FEE">
    <w:pPr>
      <w:pStyle w:val="Footer"/>
    </w:pPr>
    <w:r w:rsidRPr="00492097">
      <w:rPr>
        <w:rFonts w:ascii="Neo Sans Std" w:hAnsi="Neo Sans Std"/>
        <w:sz w:val="16"/>
        <w:szCs w:val="16"/>
      </w:rPr>
      <w:t xml:space="preserve">The CTSI group is comprised of the Trading Standards Institute (Reg. No. 38769) and </w:t>
    </w:r>
    <w:proofErr w:type="spellStart"/>
    <w:r w:rsidRPr="00492097">
      <w:rPr>
        <w:rFonts w:ascii="Neo Sans Std" w:hAnsi="Neo Sans Std"/>
        <w:sz w:val="16"/>
        <w:szCs w:val="16"/>
      </w:rPr>
      <w:t>itsa</w:t>
    </w:r>
    <w:proofErr w:type="spellEnd"/>
    <w:r w:rsidRPr="00492097">
      <w:rPr>
        <w:rFonts w:ascii="Neo Sans Std" w:hAnsi="Neo Sans Std"/>
        <w:sz w:val="16"/>
        <w:szCs w:val="16"/>
      </w:rPr>
      <w:t xml:space="preserve"> ltd (Reg. No. 2767942), both registered in England and Wales at 1 Sylvan Court, Sylvan Way, Southfields Business Park, Basildon, Essex SS15 6TH. Group Vat reg no. 795 8626 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8449" w14:textId="77777777" w:rsidR="00853EDD" w:rsidRDefault="00853EDD" w:rsidP="00A25FEE">
      <w:pPr>
        <w:spacing w:after="0" w:line="240" w:lineRule="auto"/>
      </w:pPr>
      <w:r>
        <w:separator/>
      </w:r>
    </w:p>
  </w:footnote>
  <w:footnote w:type="continuationSeparator" w:id="0">
    <w:p w14:paraId="11367DEC" w14:textId="77777777" w:rsidR="00853EDD" w:rsidRDefault="00853EDD" w:rsidP="00A25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DE76" w14:textId="4D751D5B" w:rsidR="00A25FEE" w:rsidRDefault="00CB5B37">
    <w:pPr>
      <w:pStyle w:val="Header"/>
    </w:pPr>
    <w:r>
      <w:rPr>
        <w:noProof/>
        <w:lang w:eastAsia="en-GB"/>
      </w:rPr>
      <w:drawing>
        <wp:anchor distT="0" distB="0" distL="114300" distR="114300" simplePos="0" relativeHeight="251661312" behindDoc="1" locked="0" layoutInCell="0" allowOverlap="1" wp14:anchorId="2F89E82E" wp14:editId="70B03F24">
          <wp:simplePos x="0" y="0"/>
          <wp:positionH relativeFrom="margin">
            <wp:posOffset>5236210</wp:posOffset>
          </wp:positionH>
          <wp:positionV relativeFrom="page">
            <wp:posOffset>527050</wp:posOffset>
          </wp:positionV>
          <wp:extent cx="711200" cy="76390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0" cy="763905"/>
                  </a:xfrm>
                  <a:prstGeom prst="rect">
                    <a:avLst/>
                  </a:prstGeom>
                  <a:noFill/>
                </pic:spPr>
              </pic:pic>
            </a:graphicData>
          </a:graphic>
          <wp14:sizeRelH relativeFrom="page">
            <wp14:pctWidth>0</wp14:pctWidth>
          </wp14:sizeRelH>
          <wp14:sizeRelV relativeFrom="page">
            <wp14:pctHeight>0</wp14:pctHeight>
          </wp14:sizeRelV>
        </wp:anchor>
      </w:drawing>
    </w:r>
    <w:r w:rsidRPr="009310A2">
      <w:rPr>
        <w:rFonts w:eastAsiaTheme="minorEastAsia"/>
        <w:noProof/>
        <w:sz w:val="21"/>
        <w:szCs w:val="21"/>
        <w:lang w:val="en-US"/>
      </w:rPr>
      <w:drawing>
        <wp:anchor distT="0" distB="0" distL="114300" distR="114300" simplePos="0" relativeHeight="251658240" behindDoc="0" locked="0" layoutInCell="1" allowOverlap="1" wp14:anchorId="1F56850F" wp14:editId="20F3F81D">
          <wp:simplePos x="0" y="0"/>
          <wp:positionH relativeFrom="margin">
            <wp:posOffset>-171450</wp:posOffset>
          </wp:positionH>
          <wp:positionV relativeFrom="paragraph">
            <wp:posOffset>-130175</wp:posOffset>
          </wp:positionV>
          <wp:extent cx="2372360" cy="85725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SI_ADR_Cubed_logo_CMYK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2360" cy="85725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noProof/>
        <w:sz w:val="21"/>
        <w:szCs w:val="21"/>
        <w:lang w:val="en-US"/>
      </w:rPr>
      <mc:AlternateContent>
        <mc:Choice Requires="wps">
          <w:drawing>
            <wp:anchor distT="0" distB="0" distL="114300" distR="114300" simplePos="0" relativeHeight="251659264" behindDoc="0" locked="0" layoutInCell="1" allowOverlap="1" wp14:anchorId="1DE7F096" wp14:editId="206EC0E1">
              <wp:simplePos x="0" y="0"/>
              <wp:positionH relativeFrom="column">
                <wp:posOffset>-184785</wp:posOffset>
              </wp:positionH>
              <wp:positionV relativeFrom="paragraph">
                <wp:posOffset>831850</wp:posOffset>
              </wp:positionV>
              <wp:extent cx="6257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1718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5pt,65.5pt" to="478.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" strokecolor="#7030a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E04"/>
    <w:multiLevelType w:val="hybridMultilevel"/>
    <w:tmpl w:val="6F22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76A82"/>
    <w:multiLevelType w:val="hybridMultilevel"/>
    <w:tmpl w:val="EC54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1267"/>
    <w:multiLevelType w:val="hybridMultilevel"/>
    <w:tmpl w:val="7390F44E"/>
    <w:lvl w:ilvl="0" w:tplc="65921E8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36E32"/>
    <w:multiLevelType w:val="hybridMultilevel"/>
    <w:tmpl w:val="7370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36283"/>
    <w:multiLevelType w:val="hybridMultilevel"/>
    <w:tmpl w:val="2BF2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47292"/>
    <w:multiLevelType w:val="hybridMultilevel"/>
    <w:tmpl w:val="38EE75A4"/>
    <w:lvl w:ilvl="0" w:tplc="CFE41D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06EF6"/>
    <w:multiLevelType w:val="hybridMultilevel"/>
    <w:tmpl w:val="B3F65570"/>
    <w:lvl w:ilvl="0" w:tplc="979807EE">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595000"/>
    <w:multiLevelType w:val="hybridMultilevel"/>
    <w:tmpl w:val="928E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D1B04"/>
    <w:multiLevelType w:val="hybridMultilevel"/>
    <w:tmpl w:val="529A4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C6B24"/>
    <w:multiLevelType w:val="hybridMultilevel"/>
    <w:tmpl w:val="03F2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5858178">
    <w:abstractNumId w:val="2"/>
  </w:num>
  <w:num w:numId="2" w16cid:durableId="602491002">
    <w:abstractNumId w:val="5"/>
  </w:num>
  <w:num w:numId="3" w16cid:durableId="233664346">
    <w:abstractNumId w:val="6"/>
  </w:num>
  <w:num w:numId="4" w16cid:durableId="1284191690">
    <w:abstractNumId w:val="3"/>
  </w:num>
  <w:num w:numId="5" w16cid:durableId="1906987195">
    <w:abstractNumId w:val="1"/>
  </w:num>
  <w:num w:numId="6" w16cid:durableId="1269124221">
    <w:abstractNumId w:val="0"/>
  </w:num>
  <w:num w:numId="7" w16cid:durableId="2103910808">
    <w:abstractNumId w:val="7"/>
  </w:num>
  <w:num w:numId="8" w16cid:durableId="424694062">
    <w:abstractNumId w:val="9"/>
  </w:num>
  <w:num w:numId="9" w16cid:durableId="1438604046">
    <w:abstractNumId w:val="8"/>
  </w:num>
  <w:num w:numId="10" w16cid:durableId="557786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MzY0NzI0MzE0MjdQ0lEKTi0uzszPAykwNK4FACg+t28tAAAA"/>
  </w:docVars>
  <w:rsids>
    <w:rsidRoot w:val="00A25FEE"/>
    <w:rsid w:val="00017C9E"/>
    <w:rsid w:val="000202AA"/>
    <w:rsid w:val="000979F0"/>
    <w:rsid w:val="000E73E8"/>
    <w:rsid w:val="00144988"/>
    <w:rsid w:val="00151F4A"/>
    <w:rsid w:val="001576C9"/>
    <w:rsid w:val="00163AD4"/>
    <w:rsid w:val="0017679A"/>
    <w:rsid w:val="001828F7"/>
    <w:rsid w:val="00193297"/>
    <w:rsid w:val="001D0F43"/>
    <w:rsid w:val="001D3C7F"/>
    <w:rsid w:val="001D55C3"/>
    <w:rsid w:val="001E0486"/>
    <w:rsid w:val="001F1F65"/>
    <w:rsid w:val="00201D67"/>
    <w:rsid w:val="002249E7"/>
    <w:rsid w:val="0023145C"/>
    <w:rsid w:val="0023289C"/>
    <w:rsid w:val="00246746"/>
    <w:rsid w:val="00260A8B"/>
    <w:rsid w:val="00262376"/>
    <w:rsid w:val="002831F1"/>
    <w:rsid w:val="002A4930"/>
    <w:rsid w:val="002C5BC5"/>
    <w:rsid w:val="002D50C3"/>
    <w:rsid w:val="002F2BD0"/>
    <w:rsid w:val="002F2CD6"/>
    <w:rsid w:val="00300D1D"/>
    <w:rsid w:val="00300E7B"/>
    <w:rsid w:val="00307936"/>
    <w:rsid w:val="003260D9"/>
    <w:rsid w:val="00332FFD"/>
    <w:rsid w:val="0036596A"/>
    <w:rsid w:val="00381209"/>
    <w:rsid w:val="003D498D"/>
    <w:rsid w:val="003E5A89"/>
    <w:rsid w:val="00400BC3"/>
    <w:rsid w:val="004302EB"/>
    <w:rsid w:val="00457469"/>
    <w:rsid w:val="00471716"/>
    <w:rsid w:val="0049337C"/>
    <w:rsid w:val="004A5D15"/>
    <w:rsid w:val="004A7F05"/>
    <w:rsid w:val="004B022F"/>
    <w:rsid w:val="004D7870"/>
    <w:rsid w:val="004E1862"/>
    <w:rsid w:val="005040BD"/>
    <w:rsid w:val="005071EE"/>
    <w:rsid w:val="0051749D"/>
    <w:rsid w:val="00532E5D"/>
    <w:rsid w:val="00567796"/>
    <w:rsid w:val="00571227"/>
    <w:rsid w:val="005927D5"/>
    <w:rsid w:val="0059748D"/>
    <w:rsid w:val="005A7066"/>
    <w:rsid w:val="005C47F0"/>
    <w:rsid w:val="005D6ACF"/>
    <w:rsid w:val="005E2BE6"/>
    <w:rsid w:val="0060079B"/>
    <w:rsid w:val="00636A0D"/>
    <w:rsid w:val="006471E4"/>
    <w:rsid w:val="0065675B"/>
    <w:rsid w:val="006B44FB"/>
    <w:rsid w:val="006D5A93"/>
    <w:rsid w:val="00703F46"/>
    <w:rsid w:val="00715C01"/>
    <w:rsid w:val="007479F5"/>
    <w:rsid w:val="00747A9D"/>
    <w:rsid w:val="00775490"/>
    <w:rsid w:val="007A3AD7"/>
    <w:rsid w:val="007B149C"/>
    <w:rsid w:val="007B78AA"/>
    <w:rsid w:val="007C067C"/>
    <w:rsid w:val="007C071C"/>
    <w:rsid w:val="007C50A9"/>
    <w:rsid w:val="007D3524"/>
    <w:rsid w:val="007D51E6"/>
    <w:rsid w:val="00831051"/>
    <w:rsid w:val="00833866"/>
    <w:rsid w:val="00835350"/>
    <w:rsid w:val="008412BE"/>
    <w:rsid w:val="00850B6F"/>
    <w:rsid w:val="00853EDD"/>
    <w:rsid w:val="00856275"/>
    <w:rsid w:val="008A7DE8"/>
    <w:rsid w:val="008B4BB2"/>
    <w:rsid w:val="00925686"/>
    <w:rsid w:val="00927D44"/>
    <w:rsid w:val="009347C8"/>
    <w:rsid w:val="00943A12"/>
    <w:rsid w:val="0096770E"/>
    <w:rsid w:val="00996C93"/>
    <w:rsid w:val="009A0950"/>
    <w:rsid w:val="009A2BA9"/>
    <w:rsid w:val="009B21D6"/>
    <w:rsid w:val="00A25FEE"/>
    <w:rsid w:val="00A83537"/>
    <w:rsid w:val="00A928E8"/>
    <w:rsid w:val="00A93BDC"/>
    <w:rsid w:val="00AC21E0"/>
    <w:rsid w:val="00AE4414"/>
    <w:rsid w:val="00B1052F"/>
    <w:rsid w:val="00B1680E"/>
    <w:rsid w:val="00B42D99"/>
    <w:rsid w:val="00BB6AB7"/>
    <w:rsid w:val="00BD491F"/>
    <w:rsid w:val="00C10ADC"/>
    <w:rsid w:val="00C23EC1"/>
    <w:rsid w:val="00C30144"/>
    <w:rsid w:val="00C33483"/>
    <w:rsid w:val="00C56A29"/>
    <w:rsid w:val="00C71DD0"/>
    <w:rsid w:val="00CB5B37"/>
    <w:rsid w:val="00CC4E53"/>
    <w:rsid w:val="00CD58A9"/>
    <w:rsid w:val="00D125EE"/>
    <w:rsid w:val="00D33F2B"/>
    <w:rsid w:val="00D656C8"/>
    <w:rsid w:val="00D72F53"/>
    <w:rsid w:val="00D8518D"/>
    <w:rsid w:val="00D93907"/>
    <w:rsid w:val="00DB0E68"/>
    <w:rsid w:val="00DB5E57"/>
    <w:rsid w:val="00DF1E01"/>
    <w:rsid w:val="00E05A6B"/>
    <w:rsid w:val="00E54DEA"/>
    <w:rsid w:val="00E80701"/>
    <w:rsid w:val="00E82192"/>
    <w:rsid w:val="00EA1647"/>
    <w:rsid w:val="00ED1CEA"/>
    <w:rsid w:val="00F068F3"/>
    <w:rsid w:val="00F170F3"/>
    <w:rsid w:val="00F458E7"/>
    <w:rsid w:val="00F803B7"/>
    <w:rsid w:val="00FB0908"/>
    <w:rsid w:val="00FC7996"/>
    <w:rsid w:val="00FE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FBF56"/>
  <w15:chartTrackingRefBased/>
  <w15:docId w15:val="{7B7558CF-38CD-47A2-BE82-38087E7C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FEE"/>
  </w:style>
  <w:style w:type="paragraph" w:styleId="Footer">
    <w:name w:val="footer"/>
    <w:basedOn w:val="Normal"/>
    <w:link w:val="FooterChar"/>
    <w:uiPriority w:val="99"/>
    <w:unhideWhenUsed/>
    <w:rsid w:val="00A25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FEE"/>
  </w:style>
  <w:style w:type="paragraph" w:styleId="ListParagraph">
    <w:name w:val="List Paragraph"/>
    <w:basedOn w:val="Normal"/>
    <w:uiPriority w:val="34"/>
    <w:qFormat/>
    <w:rsid w:val="001576C9"/>
    <w:pPr>
      <w:ind w:left="720"/>
      <w:contextualSpacing/>
    </w:pPr>
  </w:style>
  <w:style w:type="table" w:styleId="TableGrid">
    <w:name w:val="Table Grid"/>
    <w:basedOn w:val="TableNormal"/>
    <w:uiPriority w:val="39"/>
    <w:rsid w:val="00DB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5D15"/>
    <w:rPr>
      <w:color w:val="0563C1" w:themeColor="hyperlink"/>
      <w:u w:val="single"/>
    </w:rPr>
  </w:style>
  <w:style w:type="character" w:styleId="UnresolvedMention">
    <w:name w:val="Unresolved Mention"/>
    <w:basedOn w:val="DefaultParagraphFont"/>
    <w:uiPriority w:val="99"/>
    <w:semiHidden/>
    <w:unhideWhenUsed/>
    <w:rsid w:val="004A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motorombudsman.org/wp-content/uploads/sites/9/2021/06/Identifying-and-managing-consumer-vulnerability-effectively-in-the-age-of-social-media.pdf" TargetMode="External"/><Relationship Id="rId18" Type="http://schemas.openxmlformats.org/officeDocument/2006/relationships/hyperlink" Target="http://www.themotorombudsman.org/wp-content/uploads/sites/9/2017/06/ICAP_REPORT_2019.pdf" TargetMode="External"/><Relationship Id="rId3" Type="http://schemas.openxmlformats.org/officeDocument/2006/relationships/customXml" Target="../customXml/item3.xml"/><Relationship Id="rId21" Type="http://schemas.openxmlformats.org/officeDocument/2006/relationships/hyperlink" Target="https://www.themotorombudsman.org/wp-content/uploads/sites/9/2016/12/THE-MOTOR-OMBUDSMAN-ANNUAL-REPORT-2020.pdf" TargetMode="External"/><Relationship Id="rId7" Type="http://schemas.openxmlformats.org/officeDocument/2006/relationships/webSettings" Target="webSettings.xml"/><Relationship Id="rId12" Type="http://schemas.openxmlformats.org/officeDocument/2006/relationships/hyperlink" Target="https://www.themotorombudsman.org/wp-content/uploads/sites/9/2021/06/Service-and-Repair-Dispute-Trends-in-Quarter-1-and-Sector-Outlook-for-2021-The-Motor-Ombudsman.pdf" TargetMode="External"/><Relationship Id="rId17" Type="http://schemas.openxmlformats.org/officeDocument/2006/relationships/hyperlink" Target="https://www.themotorombudsman.org/category/useful-information/automotive-view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www.themotorombudsman.org/wp-content/uploads/sites/9/2016/12/THE-MOTOR-OMBUDSMAN-ANNUAL-REPORT-20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motorombudsman.org/wp-content/uploads/sites/9/2021/06/Vehicle_Sales_Dispute_Trends_January_to_June_2021_and_Sector_Outlook.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hemotorombudsman.org/wp-content/uploads/sites/9/2016/12/THE-MOTOR-OMBUDSMAN-ANNUAL-REPORT-2020.pdf" TargetMode="External"/><Relationship Id="rId23" Type="http://schemas.openxmlformats.org/officeDocument/2006/relationships/footer" Target="footer1.xml"/><Relationship Id="rId10" Type="http://schemas.openxmlformats.org/officeDocument/2006/relationships/hyperlink" Target="https://www.themotorombudsman.org/category/useful-information/automotive-views" TargetMode="External"/><Relationship Id="rId19" Type="http://schemas.openxmlformats.org/officeDocument/2006/relationships/hyperlink" Target="https://www.themotorombudsman.org/wp-content/uploads/sites/9/2020/05/ICAP_REPORT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motorombudsman.org/wp-content/uploads/sites/9/2020/05/ICAP_REPORT_2020.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latin typeface="Arial" panose="020B0604020202020204" pitchFamily="34" charset="0"/>
                <a:cs typeface="Arial" panose="020B0604020202020204" pitchFamily="34" charset="0"/>
              </a:rPr>
              <a:t>Case</a:t>
            </a:r>
            <a:r>
              <a:rPr lang="en-GB" baseline="0">
                <a:latin typeface="Arial" panose="020B0604020202020204" pitchFamily="34" charset="0"/>
                <a:cs typeface="Arial" panose="020B0604020202020204" pitchFamily="34" charset="0"/>
              </a:rPr>
              <a:t> outcomes 2019-21</a:t>
            </a:r>
            <a:endParaRPr lang="en-GB">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DE8-4F57-BF8B-7097DA082F2E}"/>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3DE8-4F57-BF8B-7097DA082F2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DE8-4F57-BF8B-7097DA082F2E}"/>
              </c:ext>
            </c:extLst>
          </c:dPt>
          <c:dPt>
            <c:idx val="3"/>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7-3DE8-4F57-BF8B-7097DA082F2E}"/>
              </c:ext>
            </c:extLst>
          </c:dPt>
          <c:dPt>
            <c:idx val="4"/>
            <c:bubble3D val="0"/>
            <c:spPr>
              <a:solidFill>
                <a:srgbClr val="00B0F0"/>
              </a:solidFill>
              <a:ln w="19050">
                <a:solidFill>
                  <a:schemeClr val="lt1"/>
                </a:solidFill>
              </a:ln>
              <a:effectLst/>
            </c:spPr>
            <c:extLst>
              <c:ext xmlns:c16="http://schemas.microsoft.com/office/drawing/2014/chart" uri="{C3380CC4-5D6E-409C-BE32-E72D297353CC}">
                <c16:uniqueId val="{00000009-3DE8-4F57-BF8B-7097DA082F2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Sheet1!$B$5:$B$9</c:f>
              <c:strCache>
                <c:ptCount val="5"/>
                <c:pt idx="0">
                  <c:v>Lack of evidence</c:v>
                </c:pt>
                <c:pt idx="1">
                  <c:v>Withdrawn - unresolved</c:v>
                </c:pt>
                <c:pt idx="2">
                  <c:v>Withdrawn - resolved directly with business</c:v>
                </c:pt>
                <c:pt idx="3">
                  <c:v>Upheld in business' favour</c:v>
                </c:pt>
                <c:pt idx="4">
                  <c:v>Upheld in consumer's favour</c:v>
                </c:pt>
              </c:strCache>
            </c:strRef>
          </c:cat>
          <c:val>
            <c:numRef>
              <c:f>Sheet1!$C$5:$C$9</c:f>
              <c:numCache>
                <c:formatCode>0%</c:formatCode>
                <c:ptCount val="5"/>
                <c:pt idx="0" formatCode="0.0%">
                  <c:v>4.0000000000000001E-3</c:v>
                </c:pt>
                <c:pt idx="1">
                  <c:v>0.04</c:v>
                </c:pt>
                <c:pt idx="2" formatCode="0.0%">
                  <c:v>2E-3</c:v>
                </c:pt>
                <c:pt idx="3">
                  <c:v>0.67</c:v>
                </c:pt>
                <c:pt idx="4">
                  <c:v>0.28000000000000003</c:v>
                </c:pt>
              </c:numCache>
            </c:numRef>
          </c:val>
          <c:extLst>
            <c:ext xmlns:c16="http://schemas.microsoft.com/office/drawing/2014/chart" uri="{C3380CC4-5D6E-409C-BE32-E72D297353CC}">
              <c16:uniqueId val="{0000000A-3DE8-4F57-BF8B-7097DA082F2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3DF515860D94D92AA64ABF3199C64" ma:contentTypeVersion="2" ma:contentTypeDescription="Create a new document." ma:contentTypeScope="" ma:versionID="41ed056b1343a1902e699e96f9e7799c">
  <xsd:schema xmlns:xsd="http://www.w3.org/2001/XMLSchema" xmlns:xs="http://www.w3.org/2001/XMLSchema" xmlns:p="http://schemas.microsoft.com/office/2006/metadata/properties" xmlns:ns3="20134cdf-1e9d-4ce9-8a26-fad5c64fbe2a" targetNamespace="http://schemas.microsoft.com/office/2006/metadata/properties" ma:root="true" ma:fieldsID="ff0049495749dad1746a60fa5ad1ef8b" ns3:_="">
    <xsd:import namespace="20134cdf-1e9d-4ce9-8a26-fad5c64fbe2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34cdf-1e9d-4ce9-8a26-fad5c64f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3D971-8A89-49DF-ADA2-10F47822D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34cdf-1e9d-4ce9-8a26-fad5c64fb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03741-7955-40CD-B097-78F1D92B3206}">
  <ds:schemaRefs>
    <ds:schemaRef ds:uri="http://schemas.microsoft.com/sharepoint/v3/contenttype/forms"/>
  </ds:schemaRefs>
</ds:datastoreItem>
</file>

<file path=customXml/itemProps3.xml><?xml version="1.0" encoding="utf-8"?>
<ds:datastoreItem xmlns:ds="http://schemas.openxmlformats.org/officeDocument/2006/customXml" ds:itemID="{0AA67ECC-7373-427C-A2B8-DD631FA938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Stevens</dc:creator>
  <cp:keywords/>
  <dc:description/>
  <cp:lastModifiedBy>Vanessa Horsey</cp:lastModifiedBy>
  <cp:revision>2</cp:revision>
  <dcterms:created xsi:type="dcterms:W3CDTF">2022-07-04T09:13:00Z</dcterms:created>
  <dcterms:modified xsi:type="dcterms:W3CDTF">2022-07-04T09:13:00Z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0x0101007443DF515860D94D92AA64ABF3199C64</vt:lpwstr>
  </property>
</Properties>
</file>